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RELATÓRIO TÉCNICO</w:t>
      </w:r>
    </w:p>
    <w:p>
      <w:pPr>
        <w:pStyle w:val="TitleCustom"/>
        <w:jc w:val="center"/>
      </w:pPr>
      <w:r>
        <w:t>Tarefa 4 — Identificação das Tabelas Utilizadas</w:t>
      </w:r>
    </w:p>
    <w:p>
      <w:pPr>
        <w:pStyle w:val="SubtitleCustom"/>
        <w:jc w:val="center"/>
      </w:pPr>
      <w:r>
        <w:t>AdventureWorksDW2025 • Power BI Desktop • Power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Projeto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9"/>
              </w:rPr>
              <w:t>Demonstração de Competência — Dashboard Analítico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9"/>
              </w:rPr>
              <w:t>Fase 1 — Ambiente e entendimento do AdventureWorksDW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Fonte de dados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9"/>
              </w:rPr>
              <w:t>AdventureWorksDW2025 (SQL Server)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19"/>
              </w:rPr>
              <w:t>Concluída</w:t>
            </w:r>
          </w:p>
        </w:tc>
      </w:tr>
    </w:tbl>
    <w:p>
      <w:pPr>
        <w:jc w:val="center"/>
      </w:pPr>
      <w:r>
        <w:rPr>
          <w:i/>
          <w:sz w:val="20"/>
        </w:rPr>
        <w:t>Objetivo: definir, justificar e documentar as tabelas que comporão o modelo analítico de vendas no Power BI.</w:t>
      </w:r>
    </w:p>
    <w:p>
      <w:r>
        <w:br w:type="page"/>
      </w:r>
    </w:p>
    <w:p>
      <w:pPr>
        <w:pStyle w:val="H1Custom"/>
        <w:keepNext w:val="0"/>
        <w:spacing w:after="60"/>
      </w:pPr>
      <w:r>
        <w:rPr>
          <w:sz w:val="16"/>
        </w:rPr>
        <w:t>1. Objetivo da tarefa</w:t>
      </w:r>
    </w:p>
    <w:p>
      <w:r>
        <w:t>A tarefa teve como objetivo identificar as tabelas do AdventureWorksDW2025 que serão utilizadas no dashboard, mantendo o modelo focado no processo de vendas pela Internet. A seleção considerou as perguntas de negócio previstas para os KPIs, a necessidade de análise temporal, de clientes, de produtos e de territórios, além da organização dimensional recomendada para modelos analíticos no Power BI.</w:t>
      </w:r>
    </w:p>
    <w:p>
      <w:r>
        <w:t>O escopo foi deliberadamente restrito às tabelas necessárias para o relatório, evitando importar áreas não relacionadas ao objetivo principal, como finanças corporativas, cotas de vendas, revendas e promoções específicas. Essa decisão reduz complexidade e facilita a modelagem, a criação de medidas DAX e a defesa do projeto.</w:t>
      </w:r>
    </w:p>
    <w:p>
      <w:pPr>
        <w:pStyle w:val="H1Custom"/>
        <w:keepNext w:val="0"/>
        <w:spacing w:after="60"/>
      </w:pPr>
      <w:r>
        <w:rPr>
          <w:sz w:val="16"/>
        </w:rPr>
        <w:t>2. Critérios adotados para a seleção</w:t>
      </w:r>
    </w:p>
    <w:p>
      <w:pPr>
        <w:pStyle w:val="ListBullet"/>
      </w:pPr>
      <w:r>
        <w:t>Cobrir as métricas centrais de vendas, como receita, custo, margem, quantidade, pedidos e ticket médio.</w:t>
      </w:r>
    </w:p>
    <w:p>
      <w:pPr>
        <w:pStyle w:val="ListBullet"/>
      </w:pPr>
      <w:r>
        <w:t>Permitir segmentação por período, produto, cliente e território.</w:t>
      </w:r>
    </w:p>
    <w:p>
      <w:pPr>
        <w:pStyle w:val="ListBullet"/>
      </w:pPr>
      <w:r>
        <w:t>Preservar uma estrutura dimensional clara, separando tabelas de fato e dimensões.</w:t>
      </w:r>
    </w:p>
    <w:p>
      <w:pPr>
        <w:pStyle w:val="ListBullet"/>
      </w:pPr>
      <w:r>
        <w:t>Evitar tabelas sem contribuição direta para os KPIs e análises planejadas.</w:t>
      </w:r>
    </w:p>
    <w:p>
      <w:pPr>
        <w:pStyle w:val="ListBullet"/>
      </w:pPr>
      <w:r>
        <w:t>Manter o modelo simples o suficiente para facilitar a interpretação e a apresentação em sala.</w:t>
      </w:r>
    </w:p>
    <w:p>
      <w:pPr>
        <w:pStyle w:val="H1Custom"/>
        <w:keepNext w:val="0"/>
        <w:spacing w:after="60"/>
      </w:pPr>
      <w:r>
        <w:rPr>
          <w:sz w:val="16"/>
        </w:rPr>
        <w:t>3. Tabelas selecionadas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041"/>
            <w:vAlign w:val="center"/>
            <w:shd w:fill="D9EAF7"/>
          </w:tcPr>
          <w:p>
            <w:r>
              <w:rPr>
                <w:b/>
                <w:sz w:val="18"/>
              </w:rPr>
              <w:t>Tabela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Papel no modelo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18"/>
              </w:rPr>
              <w:t>Principais análises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FactInternetSales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Fato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Tabela central do processo de vendas pela Internet.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Receita, custos, margem, quantidade, pedidos, ticket médio e datas da venda.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DimDate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Calendário analítico usado para organizar as vendas no tempo.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Ano, trimestre, mês, dia, evolução temporal e crescimento YoY.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DimCustomer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Descreve os clientes associados às vendas.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Clientes únicos, recorrência, perfil e relacionamento com geografia.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DimGeography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Fornece localização associada aos clientes.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País, estado/província, cidade e análises geográficas.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DimProduct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Descreve os produtos vendidos.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Produto, preço, cor, tamanho e desempenho individual.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DimProductSubcategory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Organiza produtos em subcategorias.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Comparações e agregações por subcategoria.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DimProductCategory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Nível superior da hierarquia de produtos.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Receita, volume e desempenho por categoria.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6"/>
              </w:rPr>
              <w:t>DimSalesTerritory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6"/>
              </w:rPr>
              <w:t>Dimensão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6"/>
              </w:rPr>
              <w:t>Representa territórios comerciais.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6"/>
              </w:rPr>
              <w:t>Receita, pedidos, clientes e desempenho por região/território.</w:t>
            </w:r>
          </w:p>
        </w:tc>
      </w:tr>
    </w:tbl>
    <w:p>
      <w:r>
        <w:br w:type="page"/>
      </w:r>
    </w:p>
    <w:p>
      <w:pPr>
        <w:pStyle w:val="H1Custom"/>
      </w:pPr>
      <w:r>
        <w:t>4. Estrutura analítica resultante</w:t>
      </w:r>
    </w:p>
    <w:p>
      <w:r>
        <w:t>A FactInternetSales será a tabela fato principal e concentrará as medidas quantitativas do processo de vendas. As demais tabelas fornecerão o contexto necessário para filtrar, agrupar e interpretar esses valores. Em termos conceituais, o modelo terá a seguinte organização: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5847"/>
            <w:vAlign w:val="center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DimDate</w:t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type="dxa" w:w="3898"/>
            <w:vAlign w:val="center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AF2F8"/>
            <w:tcBorders>
              <w:top w:val="single" w:sz="6" w:color="7F8C8D"/>
              <w:left w:val="single" w:sz="6" w:color="7F8C8D"/>
              <w:bottom w:val="single" w:sz="6" w:color="7F8C8D"/>
              <w:right w:val="single" w:sz="6" w:color="7F8C8D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DimCustomer</w:t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6E4F0"/>
            <w:tcBorders>
              <w:top w:val="single" w:sz="6" w:color="7F8C8D"/>
              <w:left w:val="single" w:sz="6" w:color="7F8C8D"/>
              <w:bottom w:val="single" w:sz="6" w:color="7F8C8D"/>
              <w:right w:val="single" w:sz="6" w:color="7F8C8D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FactInternetSales</w:t>
            </w:r>
          </w:p>
        </w:tc>
        <w:tc>
          <w:tcPr>
            <w:tcW w:type="dxa" w:w="3898"/>
            <w:vAlign w:val="center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DimProduct</w:t>
            </w:r>
          </w:p>
        </w:tc>
      </w:tr>
      <w:tr>
        <w:trPr>
          <w:cantSplit/>
        </w:trPr>
        <w:tc>
          <w:tcPr>
            <w:tcW w:type="dxa" w:w="3898"/>
            <w:vAlign w:val="center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AF2F8"/>
            <w:tcBorders>
              <w:top w:val="single" w:sz="6" w:color="7F8C8D"/>
              <w:left w:val="single" w:sz="6" w:color="7F8C8D"/>
              <w:bottom w:val="single" w:sz="6" w:color="7F8C8D"/>
              <w:right w:val="single" w:sz="6" w:color="7F8C8D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DimGeography</w:t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AF2F8"/>
            <w:tcBorders>
              <w:top w:val="single" w:sz="6" w:color="7F8C8D"/>
              <w:left w:val="single" w:sz="6" w:color="7F8C8D"/>
              <w:bottom w:val="single" w:sz="6" w:color="7F8C8D"/>
              <w:right w:val="single" w:sz="6" w:color="7F8C8D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DimSalesTerritory</w:t>
            </w:r>
          </w:p>
        </w:tc>
        <w:tc>
          <w:tcPr>
            <w:tcW w:type="dxa" w:w="3898"/>
            <w:vAlign w:val="center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DimProductSubcategory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94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898"/>
            <w:vAlign w:val="center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DimProductCategory</w:t>
            </w:r>
          </w:p>
        </w:tc>
      </w:tr>
    </w:tbl>
    <w:p>
      <w:pPr>
        <w:pStyle w:val="CaptionCustom"/>
        <w:jc w:val="center"/>
      </w:pPr>
      <w:r>
        <w:t>Figura conceitual 1 — Organização das tabelas selecionadas para o modelo analítico.</w:t>
      </w:r>
    </w:p>
    <w:p>
      <w:pPr>
        <w:pStyle w:val="H2Custom"/>
      </w:pPr>
      <w:r>
        <w:t>4.1 Observação sobre o desenho do modelo</w:t>
      </w:r>
    </w:p>
    <w:p>
      <w:r>
        <w:t>A estrutura não é um esquema em estrela totalmente desnormalizado. Existem relacionamentos entre dimensões, como Produto → Subcategoria → Categoria e Cliente → Geografia, formando características de snowflake (floco de neve). Esse desenho é compatível com o AdventureWorksDW e pode ser utilizado no Power BI, embora posteriormente seja possível simplificar algumas dimensões se isso melhorar a usabilidade do modelo.</w:t>
      </w:r>
    </w:p>
    <w:p>
      <w:pPr>
        <w:pStyle w:val="H2Custom"/>
      </w:pPr>
      <w:r>
        <w:t>4.2 Papel especial da DimDate</w:t>
      </w:r>
    </w:p>
    <w:p>
      <w:r>
        <w:t>A FactInternetSales possui diferentes chaves de data, incluindo OrderDateKey, DueDateKey e ShipDateKey. A DimDate poderá assumir diferentes papéis conforme a análise. Para o modelo inicial, a relação principal será baseada na data do pedido (OrderDateKey), enquanto análises específicas de envio poderão utilizar ShipDateKey.</w:t>
      </w:r>
    </w:p>
    <w:p>
      <w:pPr>
        <w:pStyle w:val="H1Custom"/>
      </w:pPr>
      <w:r>
        <w:t>5. Relação com os KPIs planejados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9EAF7"/>
          </w:tcPr>
          <w:p>
            <w:r>
              <w:rPr>
                <w:b/>
                <w:sz w:val="18"/>
              </w:rPr>
              <w:t>Indicador / análise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  <w:sz w:val="18"/>
              </w:rPr>
              <w:t>Tabelas envolvidas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Receita Total / Lucro / Margem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 + DimDate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Quantidade de Pedidos / Ticket Médio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Unidades Vendidas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 + DimProduct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Clientes Únicos / Recorrência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 + DimCustomer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Crescimento YoY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 + DimDate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Prazo Médio de Envio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FactInternetSales + DimDate (datas de pedido e envio)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Análise por produto/categoria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DimProduct + DimProductSubcategory + DimProductCategory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Análise territorial/geográfica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7"/>
              </w:rPr>
              <w:t>DimSalesTerritory + DimGeography + DimCustomer</w:t>
            </w:r>
          </w:p>
        </w:tc>
      </w:tr>
    </w:tbl>
    <w:p>
      <w:r>
        <w:br w:type="page"/>
      </w:r>
    </w:p>
    <w:p>
      <w:pPr>
        <w:pStyle w:val="H1Custom"/>
      </w:pPr>
      <w:r>
        <w:t>6. Evidência da seleção no Power Query</w:t>
      </w:r>
    </w:p>
    <w:p>
      <w:r>
        <w:t>Após a conexão com o AdventureWorksDW2025, as oito consultas selecionadas foram abertas no Editor do Power Query. A captura abaixo registra a presença das tabelas definidas para o modelo e a visualização da FactInternetSales, confirmando que a fonte está acessível e pronta para a próxima etapa de revisão de colunas e tipos de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98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7151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— Editor do Power Query com as oito tabelas selecionadas e a FactInternetSales em visualização.</w:t>
      </w:r>
    </w:p>
    <w:p>
      <w:pPr>
        <w:pStyle w:val="H1Custom"/>
      </w:pPr>
      <w:r>
        <w:t>7. Conclusão</w:t>
      </w:r>
    </w:p>
    <w:p>
      <w:r>
        <w:t>A tarefa foi concluída com a definição de oito tabelas que atendem ao escopo analítico do dashboard. A FactInternetSales foi estabelecida como fato principal, enquanto DimDate, DimCustomer, DimGeography, DimProduct, DimProductSubcategory, DimProductCategory e DimSalesTerritory fornecerão os diferentes contextos de análise. A seleção cobre os KPIs planejados sem ampliar desnecessariamente o escopo do modelo.</w:t>
      </w:r>
    </w:p>
    <w:p>
      <w:pPr>
        <w:spacing w:after="80"/>
      </w:pPr>
      <w:r>
        <w:t>A próxima atividade será revisar os campos dessas tabelas, manter os atributos necessários, conferir os tipos de dados e validar os relacionamentos no modelo do Power BI.</w:t>
      </w:r>
    </w:p>
    <w:p>
      <w:pPr>
        <w:pStyle w:val="H1Custom"/>
        <w:spacing w:after="80"/>
      </w:pPr>
      <w:r>
        <w:t>8. Referências</w:t>
      </w:r>
    </w:p>
    <w:p>
      <w:pPr>
        <w:pStyle w:val="ListNumber"/>
        <w:keepNext w:val="0"/>
        <w:spacing w:after="40"/>
      </w:pPr>
      <w:r>
        <w:rPr>
          <w:b/>
          <w:sz w:val="16"/>
        </w:rPr>
        <w:t xml:space="preserve">MICROSOFT. Entenda o esquema em estrela e a importância para o Power BI. Microsoft Learn. </w:t>
      </w:r>
      <w:r>
        <w:rPr>
          <w:color w:val="2F5597"/>
          <w:sz w:val="16"/>
        </w:rPr>
        <w:t>https://learn.microsoft.com/pt-br/power-bi/guidance/star-schema</w:t>
      </w:r>
    </w:p>
    <w:p>
      <w:pPr>
        <w:pStyle w:val="ListNumber"/>
        <w:keepNext w:val="0"/>
        <w:spacing w:after="40"/>
      </w:pPr>
      <w:r>
        <w:rPr>
          <w:b/>
          <w:sz w:val="16"/>
        </w:rPr>
        <w:t xml:space="preserve">MICROSOFT. Tutorial: do modelo dimensional ao relatório no Power BI Desktop. Microsoft Learn. </w:t>
      </w:r>
      <w:r>
        <w:rPr>
          <w:color w:val="2F5597"/>
          <w:sz w:val="16"/>
        </w:rPr>
        <w:t>https://learn.microsoft.com/pt-br/power-bi/create-reports/desktop-dimensional-model-report</w:t>
      </w:r>
    </w:p>
    <w:p>
      <w:pPr>
        <w:pStyle w:val="ListNumber"/>
        <w:keepNext w:val="0"/>
        <w:spacing w:after="40"/>
      </w:pPr>
      <w:r>
        <w:rPr>
          <w:b/>
          <w:sz w:val="16"/>
        </w:rPr>
        <w:t xml:space="preserve">MICROSOFT. Diretrizes de modelagem do Power BI para o Power Platform. Microsoft Learn. </w:t>
      </w:r>
      <w:r>
        <w:rPr>
          <w:color w:val="2F5597"/>
          <w:sz w:val="16"/>
        </w:rPr>
        <w:t>https://learn.microsoft.com/pt-br/power-bi/guidance/powerbi-modeling-guidance-for-power-platform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UniSales • Sistemas de Informação •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Demonstração de Competência — AdventureWorksDW / Power BI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 w:eastAsia="Aptos"/>
      <w:b/>
      <w:color w:val="1F4E79"/>
      <w:sz w:val="44"/>
    </w:rPr>
  </w:style>
  <w:style w:type="paragraph" w:customStyle="1" w:styleId="SubtitleCustom">
    <w:name w:val="SubtitleCustom"/>
    <w:rPr>
      <w:rFonts w:ascii="Aptos" w:hAnsi="Aptos" w:eastAsia="Aptos"/>
      <w:b w:val="0"/>
      <w:color w:val="404040"/>
      <w:sz w:val="24"/>
    </w:rPr>
  </w:style>
  <w:style w:type="paragraph" w:customStyle="1" w:styleId="H1Custom">
    <w:name w:val="H1Custom"/>
    <w:rPr>
      <w:rFonts w:ascii="Aptos" w:hAnsi="Aptos" w:eastAsia="Aptos"/>
      <w:b/>
      <w:color w:val="1F4E79"/>
      <w:sz w:val="30"/>
    </w:rPr>
  </w:style>
  <w:style w:type="paragraph" w:customStyle="1" w:styleId="H2Custom">
    <w:name w:val="H2Custom"/>
    <w:rPr>
      <w:rFonts w:ascii="Aptos" w:hAnsi="Aptos" w:eastAsia="Aptos"/>
      <w:b/>
      <w:color w:val="2F5597"/>
      <w:sz w:val="24"/>
    </w:rPr>
  </w:style>
  <w:style w:type="paragraph" w:customStyle="1" w:styleId="CaptionCustom">
    <w:name w:val="CaptionCustom"/>
    <w:rPr>
      <w:rFonts w:ascii="Aptos" w:hAnsi="Aptos" w:eastAsia="Aptos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