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595959"/>
          <w:sz w:val="26"/>
        </w:rPr>
        <w:t>DEMONSTRAÇÃO DE COMPETÊNCIA</w:t>
      </w:r>
    </w:p>
    <w:p>
      <w:pPr>
        <w:pStyle w:val="Title"/>
        <w:jc w:val="center"/>
      </w:pPr>
      <w:r>
        <w:t>Fase 3 — Definição de KPIs</w:t>
      </w:r>
    </w:p>
    <w:p>
      <w:pPr>
        <w:jc w:val="center"/>
      </w:pPr>
      <w:r>
        <w:rPr>
          <w:b/>
          <w:color w:val="2F5496"/>
          <w:sz w:val="34"/>
        </w:rPr>
        <w:t>Tarefa 2 — Mapear campos e tabelas necessários</w:t>
      </w:r>
    </w:p>
    <w:p>
      <w:pPr>
        <w:spacing w:before="600"/>
        <w:jc w:val="center"/>
      </w:pPr>
      <w:r>
        <w:rPr>
          <w:sz w:val="22"/>
        </w:rPr>
        <w:t>Projeto: Dashboard Analítico AdventureWorksDW</w:t>
      </w:r>
    </w:p>
    <w:p>
      <w:pPr>
        <w:jc w:val="center"/>
      </w:pPr>
      <w:r>
        <w:rPr>
          <w:sz w:val="22"/>
        </w:rPr>
        <w:t>Ferramenta: Microsoft Power BI Desktop</w:t>
      </w:r>
    </w:p>
    <w:p>
      <w:pPr>
        <w:jc w:val="center"/>
      </w:pPr>
      <w:r>
        <w:rPr>
          <w:sz w:val="22"/>
        </w:rPr>
        <w:t>Base: AdventureWorks Data Warehouse</w:t>
      </w:r>
    </w:p>
    <w:p>
      <w:pPr>
        <w:spacing w:before="2400"/>
        <w:jc w:val="center"/>
      </w:pPr>
      <w:r>
        <w:rPr>
          <w:color w:val="646464"/>
          <w:sz w:val="20"/>
        </w:rPr>
        <w:t>Outubro de 2026</w:t>
      </w:r>
    </w:p>
    <w:p>
      <w:r>
        <w:br w:type="page"/>
      </w:r>
    </w:p>
    <w:p>
      <w:pPr>
        <w:pStyle w:val="Heading1"/>
      </w:pPr>
      <w:r>
        <w:t>1. Objetivo da tarefa</w:t>
      </w:r>
    </w:p>
    <w:p>
      <w:r>
        <w:rPr>
          <w:b/>
        </w:rPr>
        <w:t xml:space="preserve">A Tarefa 2 da Fase 3 teve como objetivo </w:t>
      </w:r>
      <w:r>
        <w:t>mapear os campos e tabelas necessários para a construção dos 10 KPIs definidos anteriormente, validando se o modelo dimensional preparado na Fase 2 contém todos os dados necessários antes da criação das medidas DAX.</w:t>
      </w:r>
    </w:p>
    <w:p>
      <w:r>
        <w:rPr>
          <w:b/>
        </w:rPr>
        <w:t xml:space="preserve">A verificação foi realizada em duas etapas: </w:t>
      </w:r>
      <w:r>
        <w:t>mapeamento conceitual KPI × tabela × campo e confirmação visual dos principais campos da tabela fato FactInternetSales no Power BI Desktop.</w:t>
      </w:r>
    </w:p>
    <w:p>
      <w:pPr>
        <w:pStyle w:val="Heading1"/>
      </w:pPr>
      <w:r>
        <w:t>2. Modelo utilizado</w:t>
      </w:r>
    </w:p>
    <w:p>
      <w:r>
        <w:t>O modelo analítico utilizado nesta etapa mantém a FactInternetSales como tabela fato central, conectada às dimensões de cliente, data, produto e território. As dimensões complementares permitem segmentar os indicadores sem exigir a criação de métricas redundantes.</w:t>
      </w:r>
    </w:p>
    <w:p>
      <w:pPr>
        <w:pStyle w:val="ListBullet"/>
        <w:spacing w:after="60"/>
      </w:pPr>
      <w:r>
        <w:t>FactInternetSales: medidas transacionais de vendas, custos, quantidades, pedidos, clientes e chaves temporais.</w:t>
      </w:r>
    </w:p>
    <w:p>
      <w:pPr>
        <w:pStyle w:val="ListBullet"/>
        <w:spacing w:after="60"/>
      </w:pPr>
      <w:r>
        <w:t>DimDate: suporte às análises temporais, hierarquias e comparação anual (YoY).</w:t>
      </w:r>
    </w:p>
    <w:p>
      <w:pPr>
        <w:pStyle w:val="ListBullet"/>
        <w:spacing w:after="60"/>
      </w:pPr>
      <w:r>
        <w:t>DimCustomer: atributos de perfil de clientes para segmentação.</w:t>
      </w:r>
    </w:p>
    <w:p>
      <w:pPr>
        <w:pStyle w:val="ListBullet"/>
        <w:spacing w:after="60"/>
      </w:pPr>
      <w:r>
        <w:t>DimProduct, DimProductSubcategory e DimProductCategory: análise por produto e estrutura de categoria.</w:t>
      </w:r>
    </w:p>
    <w:p>
      <w:pPr>
        <w:pStyle w:val="ListBullet"/>
        <w:spacing w:after="60"/>
      </w:pPr>
      <w:r>
        <w:t>DimGeography e DimSalesTerritory: análises geográficas e comerciais.</w:t>
      </w:r>
    </w:p>
    <w:p>
      <w:pPr>
        <w:pStyle w:val="Heading1"/>
      </w:pPr>
      <w:r>
        <w:t>3. Matriz de mapeamento dos KPIs</w:t>
      </w:r>
    </w:p>
    <w:p>
      <w:r>
        <w:t>A tabela a seguir registra os 10 KPIs selecionados para o dashboard, as tabelas principais envolvidas e os campos necessários para cada cálculo.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2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3024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KPI</w:t>
            </w:r>
          </w:p>
        </w:tc>
        <w:tc>
          <w:tcPr>
            <w:tcW w:type="dxa" w:w="2592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Tabela principal</w:t>
            </w:r>
          </w:p>
        </w:tc>
        <w:tc>
          <w:tcPr>
            <w:tcW w:type="dxa" w:w="432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Campos necessários</w:t>
            </w:r>
          </w:p>
        </w:tc>
        <w:tc>
          <w:tcPr>
            <w:tcW w:type="dxa" w:w="1584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Receita Total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SalesAmount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Quantidade de Pedidos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SalesOrderNumber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Itens Vendidos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OrderQuantity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Clientes Ativos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CustomerKey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Ticket Médio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SalesAmount; SalesOrderNumber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Receita por Cliente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SalesAmount; CustomerKey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 Total dos Produtos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TotalProductCost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Lucro Bruto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SalesAmount; TotalProductCost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Margem Bruta 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SalesAmount; TotalProductCost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Crescimento da Receita YoY 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FactInternetSales + DimDate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SalesAmount; OrderDateKey; DateKey; FullDateAlternateKey; CalendarYear</w:t>
            </w:r>
          </w:p>
        </w:tc>
        <w:tc>
          <w:tcPr>
            <w:tcW w:type="dxa" w:w="158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Disponível</w:t>
            </w:r>
          </w:p>
        </w:tc>
      </w:tr>
    </w:tbl>
    <w:p>
      <w:pPr>
        <w:pStyle w:val="Heading1"/>
      </w:pPr>
      <w:r>
        <w:t>4. Lógica de cálculo e dependências</w:t>
      </w:r>
    </w:p>
    <w:p>
      <w:pPr>
        <w:spacing w:after="80"/>
      </w:pPr>
      <w:r>
        <w:rPr>
          <w:b/>
        </w:rPr>
        <w:t xml:space="preserve">Receita Total: </w:t>
      </w:r>
      <w:r>
        <w:t>Soma de FactInternetSales[SalesAmount].</w:t>
      </w:r>
    </w:p>
    <w:p>
      <w:pPr>
        <w:spacing w:after="80"/>
      </w:pPr>
      <w:r>
        <w:rPr>
          <w:b/>
        </w:rPr>
        <w:t xml:space="preserve">Quantidade de Pedidos: </w:t>
      </w:r>
      <w:r>
        <w:t>Contagem distinta de FactInternetSales[SalesOrderNumber], evitando contar linhas de itens como pedidos separados.</w:t>
      </w:r>
    </w:p>
    <w:p>
      <w:pPr>
        <w:spacing w:after="80"/>
      </w:pPr>
      <w:r>
        <w:rPr>
          <w:b/>
        </w:rPr>
        <w:t xml:space="preserve">Itens Vendidos: </w:t>
      </w:r>
      <w:r>
        <w:t>Soma de FactInternetSales[OrderQuantity].</w:t>
      </w:r>
    </w:p>
    <w:p>
      <w:pPr>
        <w:spacing w:after="80"/>
      </w:pPr>
      <w:r>
        <w:rPr>
          <w:b/>
        </w:rPr>
        <w:t xml:space="preserve">Clientes Ativos: </w:t>
      </w:r>
      <w:r>
        <w:t>Contagem distinta de FactInternetSales[CustomerKey], considerando somente clientes com ocorrência de venda.</w:t>
      </w:r>
    </w:p>
    <w:p>
      <w:pPr>
        <w:spacing w:after="80"/>
      </w:pPr>
      <w:r>
        <w:rPr>
          <w:b/>
        </w:rPr>
        <w:t xml:space="preserve">Ticket Médio: </w:t>
      </w:r>
      <w:r>
        <w:t>Receita Total dividida pela Quantidade de Pedidos.</w:t>
      </w:r>
    </w:p>
    <w:p>
      <w:pPr>
        <w:spacing w:after="80"/>
      </w:pPr>
      <w:r>
        <w:rPr>
          <w:b/>
        </w:rPr>
        <w:t xml:space="preserve">Receita por Cliente: </w:t>
      </w:r>
      <w:r>
        <w:t>Receita Total dividida por Clientes Ativos.</w:t>
      </w:r>
    </w:p>
    <w:p>
      <w:pPr>
        <w:spacing w:after="80"/>
      </w:pPr>
      <w:r>
        <w:rPr>
          <w:b/>
        </w:rPr>
        <w:t xml:space="preserve">Custo Total dos Produtos: </w:t>
      </w:r>
      <w:r>
        <w:t>Soma de FactInternetSales[TotalProductCost].</w:t>
      </w:r>
    </w:p>
    <w:p>
      <w:pPr>
        <w:spacing w:after="80"/>
      </w:pPr>
      <w:r>
        <w:rPr>
          <w:b/>
        </w:rPr>
        <w:t xml:space="preserve">Lucro Bruto: </w:t>
      </w:r>
      <w:r>
        <w:t>Receita Total menos Custo Total dos Produtos.</w:t>
      </w:r>
    </w:p>
    <w:p>
      <w:pPr>
        <w:spacing w:after="80"/>
      </w:pPr>
      <w:r>
        <w:rPr>
          <w:b/>
        </w:rPr>
        <w:t xml:space="preserve">Margem Bruta %: </w:t>
      </w:r>
      <w:r>
        <w:t>Lucro Bruto dividido pela Receita Total.</w:t>
      </w:r>
    </w:p>
    <w:p>
      <w:pPr>
        <w:spacing w:after="80"/>
      </w:pPr>
      <w:r>
        <w:rPr>
          <w:b/>
        </w:rPr>
        <w:t xml:space="preserve">Crescimento da Receita YoY %: </w:t>
      </w:r>
      <w:r>
        <w:t>Comparação entre a Receita Total do período atual e a receita do mesmo período do ano anterior, usando a DimDate e o relacionamento ativo por OrderDateKey.</w:t>
      </w:r>
    </w:p>
    <w:p>
      <w:pPr>
        <w:pStyle w:val="Heading1"/>
      </w:pPr>
      <w:r>
        <w:t>5. Verificação visual no Power BI</w:t>
      </w:r>
    </w:p>
    <w:p>
      <w:r>
        <w:t>Após o mapeamento conceitual, a tabela FactInternetSales foi aberta na Exibição de Dados do Power BI para confirmar a existência dos campos necessários. As evidências abaixo registram essa validação.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83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3582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"/>
        <w:jc w:val="center"/>
      </w:pPr>
      <w:r>
        <w:t>Figura 1 — FactInternetSales com ProductKey, OrderDateKey, CustomerKey, SalesOrderNumber e OrderQuantity visíveis.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73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3585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"/>
        <w:jc w:val="center"/>
      </w:pPr>
      <w:r>
        <w:t>Figura 2 — FactInternetSales com TotalProductCost e SalesAmount visíveis, além das datas transacionais.</w:t>
      </w:r>
    </w:p>
    <w:p>
      <w:pPr>
        <w:pStyle w:val="Heading1"/>
      </w:pPr>
      <w:r>
        <w:t>6. Resultado da validação dos campos-chave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24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Utilização analítica</w:t>
            </w:r>
          </w:p>
        </w:tc>
        <w:tc>
          <w:tcPr>
            <w:tcW w:type="dxa" w:w="3324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SalesAmount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Receita Total; Ticket Médio; Receita por Cliente; Lucro; Margem</w:t>
            </w:r>
          </w:p>
        </w:tc>
        <w:tc>
          <w:tcPr>
            <w:tcW w:type="dxa" w:w="332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TotalProductCost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 Total; Lucro Bruto; Margem Bruta</w:t>
            </w:r>
          </w:p>
        </w:tc>
        <w:tc>
          <w:tcPr>
            <w:tcW w:type="dxa" w:w="332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SalesOrderNumber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Quantidade de Pedidos; Ticket Médio</w:t>
            </w:r>
          </w:p>
        </w:tc>
        <w:tc>
          <w:tcPr>
            <w:tcW w:type="dxa" w:w="332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OrderQuantity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Itens Vendidos</w:t>
            </w:r>
          </w:p>
        </w:tc>
        <w:tc>
          <w:tcPr>
            <w:tcW w:type="dxa" w:w="332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Clientes Ativos; Receita por Cliente</w:t>
            </w:r>
          </w:p>
        </w:tc>
        <w:tc>
          <w:tcPr>
            <w:tcW w:type="dxa" w:w="332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OrderDateKey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Relacionamento temporal e crescimento YoY</w:t>
            </w:r>
          </w:p>
        </w:tc>
        <w:tc>
          <w:tcPr>
            <w:tcW w:type="dxa" w:w="3324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</w:tr>
    </w:tbl>
    <w:p>
      <w:r>
        <w:rPr>
          <w:b/>
        </w:rPr>
        <w:t xml:space="preserve">Quantidade observada na tabela fato: </w:t>
      </w:r>
      <w:r>
        <w:t>60.398 linhas na FactInternetSales, conforme exibido pelo Power BI durante a validação.</w:t>
      </w:r>
    </w:p>
    <w:p>
      <w:pPr>
        <w:pStyle w:val="Heading1"/>
      </w:pPr>
      <w:r>
        <w:t>7. Papel das dimensões no data storytelling</w:t>
      </w:r>
    </w:p>
    <w:p>
      <w:r>
        <w:t>As dimensões não precisam entrar diretamente na fórmula de todos os KPIs. Elas funcionam como eixos de análise que explicam as variações das medidas e enriquecem o data storytelling do dashboard.</w:t>
      </w:r>
    </w:p>
    <w:p>
      <w:pPr>
        <w:pStyle w:val="ListBullet"/>
      </w:pPr>
      <w:r>
        <w:rPr>
          <w:b/>
        </w:rPr>
        <w:t xml:space="preserve">Tempo: </w:t>
      </w:r>
      <w:r>
        <w:t>Ano → Trimestre → Mês, permitindo análise de tendência e crescimento YoY.</w:t>
      </w:r>
    </w:p>
    <w:p>
      <w:pPr>
        <w:pStyle w:val="ListBullet"/>
      </w:pPr>
      <w:r>
        <w:rPr>
          <w:b/>
        </w:rPr>
        <w:t xml:space="preserve">Produto: </w:t>
      </w:r>
      <w:r>
        <w:t>Categoria → Subcategoria → Produto, permitindo identificar quais linhas sustentam receita, volume, lucro e margem.</w:t>
      </w:r>
    </w:p>
    <w:p>
      <w:pPr>
        <w:pStyle w:val="ListBullet"/>
      </w:pPr>
      <w:r>
        <w:rPr>
          <w:b/>
        </w:rPr>
        <w:t xml:space="preserve">Geografia: </w:t>
      </w:r>
      <w:r>
        <w:t>País → Estado/Província → Cidade, permitindo localizar desempenho comercial e concentração de clientes.</w:t>
      </w:r>
    </w:p>
    <w:p>
      <w:pPr>
        <w:pStyle w:val="ListBullet"/>
      </w:pPr>
      <w:r>
        <w:rPr>
          <w:b/>
        </w:rPr>
        <w:t xml:space="preserve">Cliente: </w:t>
      </w:r>
      <w:r>
        <w:t>Gênero, escolaridade, ocupação, renda e outros atributos para análise de perfil.</w:t>
      </w:r>
    </w:p>
    <w:p>
      <w:pPr>
        <w:pStyle w:val="ListBullet"/>
      </w:pPr>
      <w:r>
        <w:rPr>
          <w:b/>
        </w:rPr>
        <w:t xml:space="preserve">Território: </w:t>
      </w:r>
      <w:r>
        <w:t>Grupo, país e região de vendas para leitura comercial e regional.</w:t>
      </w:r>
    </w:p>
    <w:p>
      <w:pPr>
        <w:pStyle w:val="Heading1"/>
      </w:pPr>
      <w:r>
        <w:t>8. Decisões e justificativas</w:t>
      </w:r>
    </w:p>
    <w:p>
      <w:pPr>
        <w:pStyle w:val="ListBullet"/>
        <w:spacing w:after="60"/>
      </w:pPr>
      <w:r>
        <w:t>Não foram criados KPIs separados como “Receita por País” ou “Receita por Produto”, pois essas análises são obtidas aplicando dimensões sobre a mesma medida de Receita Total.</w:t>
      </w:r>
    </w:p>
    <w:p>
      <w:pPr>
        <w:pStyle w:val="ListBullet"/>
        <w:spacing w:after="60"/>
      </w:pPr>
      <w:r>
        <w:t>SalesOrderNumber será contado de forma distinta, evitando superestimar a quantidade de pedidos quando houver múltiplas linhas por venda.</w:t>
      </w:r>
    </w:p>
    <w:p>
      <w:pPr>
        <w:pStyle w:val="ListBullet"/>
        <w:spacing w:after="60"/>
      </w:pPr>
      <w:r>
        <w:t>CustomerKey será contado de forma distinta na tabela fato, representando clientes que efetivamente realizaram compras no contexto filtrado.</w:t>
      </w:r>
    </w:p>
    <w:p>
      <w:pPr>
        <w:pStyle w:val="ListBullet"/>
        <w:spacing w:after="60"/>
      </w:pPr>
      <w:r>
        <w:t>OrderDateKey foi mantido como referência temporal principal para os KPIs, coerente com o relacionamento ativo entre FactInternetSales e DimDate definido na Fase 2.</w:t>
      </w:r>
    </w:p>
    <w:p>
      <w:pPr>
        <w:pStyle w:val="ListBullet"/>
        <w:spacing w:after="60"/>
      </w:pPr>
      <w:r>
        <w:t>Nenhuma coluna adicional precisou ser recuperada no Power Query, reduzindo retrabalho e preservando o modelo já validado.</w:t>
      </w:r>
    </w:p>
    <w:p>
      <w:pPr>
        <w:pStyle w:val="Heading1"/>
      </w:pPr>
      <w:r>
        <w:t>9. Conclusão</w:t>
      </w:r>
    </w:p>
    <w:p>
      <w:r>
        <w:rPr>
          <w:b/>
        </w:rPr>
        <w:t xml:space="preserve">A Tarefa 2 — Mapear campos e tabelas necessários foi concluída com sucesso. </w:t>
      </w:r>
      <w:r>
        <w:t>Os 10 KPIs definidos na Tarefa 1 são totalmente suportados pelo modelo atual. A FactInternetSales contém todos os campos transacionais fundamentais e a DimDate fornece a estrutura necessária para análise temporal e crescimento anual. Não foi identificada necessidade de adicionar novas tabelas ou retornar ao Power Query para recuperar campos removidos.</w:t>
      </w:r>
    </w:p>
    <w:p>
      <w:r>
        <w:rPr>
          <w:b/>
        </w:rPr>
        <w:t xml:space="preserve">Com essa validação, o projeto está preparado para a próxima etapa: </w:t>
      </w:r>
      <w:r>
        <w:t>criação das medidas DAX básicas e, posteriormente, dos indicadores derivados e temporais.</w:t>
      </w:r>
    </w:p>
    <w:p>
      <w:pPr>
        <w:pStyle w:val="Heading1"/>
      </w:pPr>
      <w:r>
        <w:t>10. Referências</w:t>
      </w:r>
    </w:p>
    <w:p>
      <w:r>
        <w:rPr>
          <w:b/>
        </w:rPr>
        <w:t>Microsoft Learn — Understand star schema and the importance for Power BI</w:t>
      </w:r>
      <w:r>
        <w:br/>
        <w:t>https://learn.microsoft.com/power-bi/guidance/star-schema</w:t>
      </w:r>
    </w:p>
    <w:p>
      <w:r>
        <w:rPr>
          <w:b/>
        </w:rPr>
        <w:t>Microsoft Learn — Data Analysis Expressions (DAX) reference</w:t>
      </w:r>
      <w:r>
        <w:br/>
        <w:t>https://learn.microsoft.com/dax/</w:t>
      </w:r>
    </w:p>
    <w:p>
      <w:r>
        <w:rPr>
          <w:b/>
        </w:rPr>
        <w:t>Microsoft Learn — Use relationship functions in DAX</w:t>
      </w:r>
      <w:r>
        <w:br/>
        <w:t>https://learn.microsoft.com/power-bi/transform-model/desktop-relationships-understand</w:t>
      </w:r>
    </w:p>
    <w:p>
      <w:r>
        <w:rPr>
          <w:b/>
        </w:rPr>
        <w:t>Microsoft AdventureWorks sample databases</w:t>
      </w:r>
      <w:r>
        <w:br/>
        <w:t>https://learn.microsoft.com/sql/samples/adventureworks-install-configure</w:t>
      </w:r>
    </w:p>
    <w:sectPr w:rsidR="00FC693F" w:rsidRPr="0006063C" w:rsidSect="00034616">
      <w:footerReference w:type="default" r:id="rId1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AdventureWorks Power BI Dashboard — Fase 3 | Tarefa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037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37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">
    <w:name w:val="Figura"/>
    <w:pPr>
      <w:spacing w:after="160"/>
    </w:pPr>
    <w:rPr>
      <w:rFonts w:ascii="Aptos" w:hAnsi="Aptos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