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Relatório Técnico</w:t>
      </w:r>
    </w:p>
    <w:p>
      <w:pPr>
        <w:jc w:val="center"/>
      </w:pPr>
      <w:r>
        <w:rPr>
          <w:b/>
          <w:color w:val="0F6B78"/>
          <w:sz w:val="32"/>
        </w:rPr>
        <w:t>Fase 2 - Tarefa 2: Carregar os dados e validar os relacionamentos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8064"/>
      </w:tblGrid>
      <w:tr>
        <w:trPr>
          <w:cantSplit/>
        </w:trPr>
        <w:tc>
          <w:tcPr>
            <w:tcW w:type="dxa" w:w="499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99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AdventureWorks - Dashboard Analítico com Power BI</w:t>
            </w:r>
          </w:p>
        </w:tc>
      </w:tr>
      <w:tr>
        <w:trPr>
          <w:cantSplit/>
        </w:trPr>
        <w:tc>
          <w:tcPr>
            <w:tcW w:type="dxa" w:w="499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Base de dados</w:t>
            </w:r>
          </w:p>
        </w:tc>
        <w:tc>
          <w:tcPr>
            <w:tcW w:type="dxa" w:w="499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AdventureWorksDW2025</w:t>
            </w:r>
          </w:p>
        </w:tc>
      </w:tr>
      <w:tr>
        <w:trPr>
          <w:cantSplit/>
        </w:trPr>
        <w:tc>
          <w:tcPr>
            <w:tcW w:type="dxa" w:w="499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Ferramenta</w:t>
            </w:r>
          </w:p>
        </w:tc>
        <w:tc>
          <w:tcPr>
            <w:tcW w:type="dxa" w:w="499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Microsoft Power BI Desktop</w:t>
            </w:r>
          </w:p>
        </w:tc>
      </w:tr>
      <w:tr>
        <w:trPr>
          <w:cantSplit/>
        </w:trPr>
        <w:tc>
          <w:tcPr>
            <w:tcW w:type="dxa" w:w="499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Data da atividade</w:t>
            </w:r>
          </w:p>
        </w:tc>
        <w:tc>
          <w:tcPr>
            <w:tcW w:type="dxa" w:w="499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25/10/2026</w:t>
            </w:r>
          </w:p>
        </w:tc>
      </w:tr>
    </w:tbl>
    <w:p>
      <w:r>
        <w:rPr>
          <w:b/>
        </w:rPr>
        <w:t xml:space="preserve">Situação da tarefa: </w:t>
      </w:r>
      <w:r>
        <w:rPr>
          <w:b/>
          <w:color w:val="008000"/>
        </w:rPr>
        <w:t>CONCLUÍDA</w:t>
      </w:r>
    </w:p>
    <w:p>
      <w:pPr>
        <w:pStyle w:val="Heading1"/>
      </w:pPr>
      <w:r>
        <w:t>1. Objetivo da tarefa</w:t>
      </w:r>
    </w:p>
    <w:p>
      <w:r>
        <w:rPr>
          <w:b/>
        </w:rPr>
        <w:t xml:space="preserve">Objetivo principal. </w:t>
      </w:r>
      <w:r>
        <w:t>Carregar no modelo semântico do Power BI as oito tabelas previamente tratadas no Power Query e validar/criar os relacionamentos necessários para que filtros e cálculos sejam propagados de forma coerente entre dimensões e a tabela fato.</w:t>
      </w:r>
    </w:p>
    <w:p>
      <w:r>
        <w:t>A tarefa foi executada após a validação do novo ambiente e a atualização bem-sucedida da fonte SQL Server. O Power BI detectou apenas parte das relações automaticamente; as demais foram criadas manualmente em Gerenciar relações, conforme a documentação oficial da Microsoft [1].</w:t>
      </w:r>
    </w:p>
    <w:p>
      <w:pPr>
        <w:pStyle w:val="Heading1"/>
      </w:pPr>
      <w:r>
        <w:t>2. Tabelas carregadas</w:t>
      </w:r>
    </w:p>
    <w:p>
      <w:r>
        <w:t>Foram carregadas e mantidas no modelo as seguintes tabelas:</w:t>
      </w:r>
    </w:p>
    <w:p>
      <w:pPr>
        <w:pStyle w:val="ListBullet"/>
      </w:pPr>
      <w:r>
        <w:rPr>
          <w:b/>
        </w:rPr>
        <w:t>DimCustomer</w:t>
      </w:r>
    </w:p>
    <w:p>
      <w:pPr>
        <w:pStyle w:val="ListBullet"/>
      </w:pPr>
      <w:r>
        <w:rPr>
          <w:b/>
        </w:rPr>
        <w:t>DimDate</w:t>
      </w:r>
    </w:p>
    <w:p>
      <w:pPr>
        <w:pStyle w:val="ListBullet"/>
      </w:pPr>
      <w:r>
        <w:rPr>
          <w:b/>
        </w:rPr>
        <w:t>DimGeography</w:t>
      </w:r>
    </w:p>
    <w:p>
      <w:pPr>
        <w:pStyle w:val="ListBullet"/>
      </w:pPr>
      <w:r>
        <w:rPr>
          <w:b/>
        </w:rPr>
        <w:t>DimProduct</w:t>
      </w:r>
    </w:p>
    <w:p>
      <w:pPr>
        <w:pStyle w:val="ListBullet"/>
      </w:pPr>
      <w:r>
        <w:rPr>
          <w:b/>
        </w:rPr>
        <w:t>DimProductCategory</w:t>
      </w:r>
    </w:p>
    <w:p>
      <w:pPr>
        <w:pStyle w:val="ListBullet"/>
      </w:pPr>
      <w:r>
        <w:rPr>
          <w:b/>
        </w:rPr>
        <w:t>DimProductSubcategory</w:t>
      </w:r>
    </w:p>
    <w:p>
      <w:pPr>
        <w:pStyle w:val="ListBullet"/>
      </w:pPr>
      <w:r>
        <w:rPr>
          <w:b/>
        </w:rPr>
        <w:t>DimSalesTerritory</w:t>
      </w:r>
    </w:p>
    <w:p>
      <w:pPr>
        <w:pStyle w:val="ListBullet"/>
      </w:pPr>
      <w:r>
        <w:rPr>
          <w:b/>
        </w:rPr>
        <w:t>FactInternetSales</w:t>
      </w:r>
    </w:p>
    <w:p>
      <w:r>
        <w:t>A FactInternetSales permanece como a tabela fato central de vendas pela Internet, enquanto as demais tabelas fornecem contexto de cliente, tempo, geografia, produto, categoria e território. Essa separação entre fatos e dimensões é coerente com as recomendações de modelagem dimensional e esquema estrela aplicadas ao Power BI [2].</w:t>
      </w:r>
    </w:p>
    <w:p>
      <w:pPr>
        <w:pStyle w:val="Heading1"/>
      </w:pPr>
      <w:r>
        <w:t>3. Relacionamentos validados e configurados</w:t>
      </w:r>
    </w:p>
    <w:p>
      <w:r>
        <w:t>Ao final da tarefa, o modelo ficou com nove relacionamentos. Sete são ativos e dois são inativos para suportar os diferentes papéis da dimensão de tempo.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cantSplit/>
        </w:trPr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7"/>
              </w:rPr>
              <w:t>Relacionamento</w:t>
            </w:r>
          </w:p>
        </w:tc>
        <w:tc>
          <w:tcPr>
            <w:tcW w:type="dxa" w:w="749"/>
            <w:shd w:fill="1F4E78"/>
          </w:tcPr>
          <w:p>
            <w:r>
              <w:rPr>
                <w:b/>
                <w:color w:val="FFFFFF"/>
                <w:sz w:val="17"/>
              </w:rPr>
              <w:t>Card.</w:t>
            </w:r>
          </w:p>
        </w:tc>
        <w:tc>
          <w:tcPr>
            <w:tcW w:type="dxa" w:w="893"/>
            <w:shd w:fill="1F4E78"/>
          </w:tcPr>
          <w:p>
            <w:r>
              <w:rPr>
                <w:b/>
                <w:color w:val="FFFFFF"/>
                <w:sz w:val="17"/>
              </w:rPr>
              <w:t>Filtro</w:t>
            </w:r>
          </w:p>
        </w:tc>
        <w:tc>
          <w:tcPr>
            <w:tcW w:type="dxa" w:w="979"/>
            <w:shd w:fill="1F4E78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160"/>
            <w:shd w:fill="1F4E78"/>
          </w:tcPr>
          <w:p>
            <w:r>
              <w:rPr>
                <w:b/>
                <w:color w:val="FFFFFF"/>
                <w:sz w:val="17"/>
              </w:rPr>
              <w:t>Justificativa</w:t>
            </w:r>
          </w:p>
        </w:tc>
      </w:tr>
      <w:tr>
        <w:trPr>
          <w:cantSplit/>
        </w:trPr>
        <w:tc>
          <w:tcPr>
            <w:tcW w:type="dxa" w:w="5112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DimProductCategory.ProductCategoryKey → DimProductSubcategory.ProductCategoryKey</w:t>
            </w:r>
          </w:p>
        </w:tc>
        <w:tc>
          <w:tcPr>
            <w:tcW w:type="dxa" w:w="749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1:*</w:t>
            </w:r>
          </w:p>
        </w:tc>
        <w:tc>
          <w:tcPr>
            <w:tcW w:type="dxa" w:w="89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Único</w:t>
            </w:r>
          </w:p>
        </w:tc>
        <w:tc>
          <w:tcPr>
            <w:tcW w:type="dxa" w:w="979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Ativo</w:t>
            </w:r>
          </w:p>
        </w:tc>
        <w:tc>
          <w:tcPr>
            <w:tcW w:type="dxa" w:w="2160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Hierarquia de produtos.</w:t>
            </w:r>
          </w:p>
        </w:tc>
      </w:tr>
      <w:tr>
        <w:trPr>
          <w:cantSplit/>
        </w:trPr>
        <w:tc>
          <w:tcPr>
            <w:tcW w:type="dxa" w:w="5112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DimProductSubcategory.ProductSubcategoryKey → DimProduct.ProductSubcategoryKey</w:t>
            </w:r>
          </w:p>
        </w:tc>
        <w:tc>
          <w:tcPr>
            <w:tcW w:type="dxa" w:w="749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1:*</w:t>
            </w:r>
          </w:p>
        </w:tc>
        <w:tc>
          <w:tcPr>
            <w:tcW w:type="dxa" w:w="89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Único</w:t>
            </w:r>
          </w:p>
        </w:tc>
        <w:tc>
          <w:tcPr>
            <w:tcW w:type="dxa" w:w="979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Ativo</w:t>
            </w:r>
          </w:p>
        </w:tc>
        <w:tc>
          <w:tcPr>
            <w:tcW w:type="dxa" w:w="2160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Subcategoria filtra os produtos.</w:t>
            </w:r>
          </w:p>
        </w:tc>
      </w:tr>
      <w:tr>
        <w:trPr>
          <w:cantSplit/>
        </w:trPr>
        <w:tc>
          <w:tcPr>
            <w:tcW w:type="dxa" w:w="5112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DimProduct.ProductKey → FactInternetSales.ProductKey</w:t>
            </w:r>
          </w:p>
        </w:tc>
        <w:tc>
          <w:tcPr>
            <w:tcW w:type="dxa" w:w="749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1:*</w:t>
            </w:r>
          </w:p>
        </w:tc>
        <w:tc>
          <w:tcPr>
            <w:tcW w:type="dxa" w:w="89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Único</w:t>
            </w:r>
          </w:p>
        </w:tc>
        <w:tc>
          <w:tcPr>
            <w:tcW w:type="dxa" w:w="979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Ativo</w:t>
            </w:r>
          </w:p>
        </w:tc>
        <w:tc>
          <w:tcPr>
            <w:tcW w:type="dxa" w:w="2160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Produto filtra as vendas.</w:t>
            </w:r>
          </w:p>
        </w:tc>
      </w:tr>
      <w:tr>
        <w:trPr>
          <w:cantSplit/>
        </w:trPr>
        <w:tc>
          <w:tcPr>
            <w:tcW w:type="dxa" w:w="5112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DimGeography.GeographyKey → DimCustomer.GeographyKey</w:t>
            </w:r>
          </w:p>
        </w:tc>
        <w:tc>
          <w:tcPr>
            <w:tcW w:type="dxa" w:w="749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1:*</w:t>
            </w:r>
          </w:p>
        </w:tc>
        <w:tc>
          <w:tcPr>
            <w:tcW w:type="dxa" w:w="89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Único</w:t>
            </w:r>
          </w:p>
        </w:tc>
        <w:tc>
          <w:tcPr>
            <w:tcW w:type="dxa" w:w="979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Ativo</w:t>
            </w:r>
          </w:p>
        </w:tc>
        <w:tc>
          <w:tcPr>
            <w:tcW w:type="dxa" w:w="2160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Geografia contextualiza o cliente.</w:t>
            </w:r>
          </w:p>
        </w:tc>
      </w:tr>
      <w:tr>
        <w:trPr>
          <w:cantSplit/>
        </w:trPr>
        <w:tc>
          <w:tcPr>
            <w:tcW w:type="dxa" w:w="5112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DimCustomer.CustomerKey → FactInternetSales.CustomerKey</w:t>
            </w:r>
          </w:p>
        </w:tc>
        <w:tc>
          <w:tcPr>
            <w:tcW w:type="dxa" w:w="749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1:*</w:t>
            </w:r>
          </w:p>
        </w:tc>
        <w:tc>
          <w:tcPr>
            <w:tcW w:type="dxa" w:w="89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Único</w:t>
            </w:r>
          </w:p>
        </w:tc>
        <w:tc>
          <w:tcPr>
            <w:tcW w:type="dxa" w:w="979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Ativo</w:t>
            </w:r>
          </w:p>
        </w:tc>
        <w:tc>
          <w:tcPr>
            <w:tcW w:type="dxa" w:w="2160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Cliente filtra as vendas.</w:t>
            </w:r>
          </w:p>
        </w:tc>
      </w:tr>
      <w:tr>
        <w:trPr>
          <w:cantSplit/>
        </w:trPr>
        <w:tc>
          <w:tcPr>
            <w:tcW w:type="dxa" w:w="5112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DimSalesTerritory.SalesTerritoryKey → FactInternetSales.SalesTerritoryKey</w:t>
            </w:r>
          </w:p>
        </w:tc>
        <w:tc>
          <w:tcPr>
            <w:tcW w:type="dxa" w:w="749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1:*</w:t>
            </w:r>
          </w:p>
        </w:tc>
        <w:tc>
          <w:tcPr>
            <w:tcW w:type="dxa" w:w="89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Único</w:t>
            </w:r>
          </w:p>
        </w:tc>
        <w:tc>
          <w:tcPr>
            <w:tcW w:type="dxa" w:w="979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Ativo</w:t>
            </w:r>
          </w:p>
        </w:tc>
        <w:tc>
          <w:tcPr>
            <w:tcW w:type="dxa" w:w="2160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Território filtra as vendas.</w:t>
            </w:r>
          </w:p>
        </w:tc>
      </w:tr>
      <w:tr>
        <w:trPr>
          <w:cantSplit/>
        </w:trPr>
        <w:tc>
          <w:tcPr>
            <w:tcW w:type="dxa" w:w="5112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DimDate.DateKey → FactInternetSales.OrderDateKey</w:t>
            </w:r>
          </w:p>
        </w:tc>
        <w:tc>
          <w:tcPr>
            <w:tcW w:type="dxa" w:w="749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1:*</w:t>
            </w:r>
          </w:p>
        </w:tc>
        <w:tc>
          <w:tcPr>
            <w:tcW w:type="dxa" w:w="89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Único</w:t>
            </w:r>
          </w:p>
        </w:tc>
        <w:tc>
          <w:tcPr>
            <w:tcW w:type="dxa" w:w="979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Ativo</w:t>
            </w:r>
          </w:p>
        </w:tc>
        <w:tc>
          <w:tcPr>
            <w:tcW w:type="dxa" w:w="2160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Data principal para análise temporal.</w:t>
            </w:r>
          </w:p>
        </w:tc>
      </w:tr>
      <w:tr>
        <w:trPr>
          <w:cantSplit/>
        </w:trPr>
        <w:tc>
          <w:tcPr>
            <w:tcW w:type="dxa" w:w="5112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DimDate.DateKey → FactInternetSales.DueDateKey</w:t>
            </w:r>
          </w:p>
        </w:tc>
        <w:tc>
          <w:tcPr>
            <w:tcW w:type="dxa" w:w="749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1:*</w:t>
            </w:r>
          </w:p>
        </w:tc>
        <w:tc>
          <w:tcPr>
            <w:tcW w:type="dxa" w:w="89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Único</w:t>
            </w:r>
          </w:p>
        </w:tc>
        <w:tc>
          <w:tcPr>
            <w:tcW w:type="dxa" w:w="979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Inativo</w:t>
            </w:r>
          </w:p>
        </w:tc>
        <w:tc>
          <w:tcPr>
            <w:tcW w:type="dxa" w:w="2160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Uso sob demanda em medidas.</w:t>
            </w:r>
          </w:p>
        </w:tc>
      </w:tr>
      <w:tr>
        <w:trPr>
          <w:cantSplit/>
        </w:trPr>
        <w:tc>
          <w:tcPr>
            <w:tcW w:type="dxa" w:w="5112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DimDate.DateKey → FactInternetSales.ShipDateKey</w:t>
            </w:r>
          </w:p>
        </w:tc>
        <w:tc>
          <w:tcPr>
            <w:tcW w:type="dxa" w:w="749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1:*</w:t>
            </w:r>
          </w:p>
        </w:tc>
        <w:tc>
          <w:tcPr>
            <w:tcW w:type="dxa" w:w="89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Único</w:t>
            </w:r>
          </w:p>
        </w:tc>
        <w:tc>
          <w:tcPr>
            <w:tcW w:type="dxa" w:w="979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Inativo</w:t>
            </w:r>
          </w:p>
        </w:tc>
        <w:tc>
          <w:tcPr>
            <w:tcW w:type="dxa" w:w="2160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r>
              <w:rPr>
                <w:sz w:val="16"/>
              </w:rPr>
              <w:t>Uso sob demanda em medidas.</w:t>
            </w:r>
          </w:p>
        </w:tc>
      </w:tr>
    </w:tbl>
    <w:p>
      <w:pPr>
        <w:pStyle w:val="Heading1"/>
      </w:pPr>
      <w:r>
        <w:t>4. Justificativa das decisões de modelagem</w:t>
      </w:r>
    </w:p>
    <w:p>
      <w:pPr>
        <w:pStyle w:val="Heading2"/>
      </w:pPr>
      <w:r>
        <w:t>4.1 Cardinalidade 1:* entre dimensões e tabelas detalhadas</w:t>
      </w:r>
    </w:p>
    <w:p>
      <w:r>
        <w:t>As chaves das dimensões representam valores únicos no lado “1”, enquanto as tabelas detalhadas podem repetir essas chaves no lado “*”. Esse padrão preserva a granularidade da FactInternetSales e permite que filtros aplicados nas dimensões alcancem corretamente as linhas de venda. A orientação da Microsoft para modelos dimensionais reforça a separação entre tabelas de dimensão e fato e o uso de relacionamentos coerentes com a granularidade [2].</w:t>
      </w:r>
    </w:p>
    <w:p>
      <w:pPr>
        <w:pStyle w:val="Heading2"/>
      </w:pPr>
      <w:r>
        <w:t>4.2 Direção de filtro cruzado definida como Único</w:t>
      </w:r>
    </w:p>
    <w:p>
      <w:r>
        <w:t>Foi utilizada direção de filtro cruzado Único em todos os relacionamentos. Assim, os filtros fluem do lado de dimensão para o lado detalhado/fato, reduzindo o risco de caminhos de filtro inesperados e ambiguidades. A Microsoft descreve a direção única como a configuração mais comum e recomenda cautela com relações bidirecionais em modelos com múltiplas tabelas [1].</w:t>
      </w:r>
    </w:p>
    <w:p>
      <w:pPr>
        <w:pStyle w:val="Heading2"/>
      </w:pPr>
      <w:r>
        <w:t>4.3 Data do pedido como relacionamento temporal ativo</w:t>
      </w:r>
    </w:p>
    <w:p>
      <w:r>
        <w:t>A relação DimDate[DateKey] → FactInternetSales[OrderDateKey] foi definida como ativa porque a data do pedido representa o eixo temporal principal para análises de receita, pedidos, clientes e crescimento. A própria documentação de esquema estrela da Microsoft usa o Adventure Works para ilustrar uma dimensão de data com três papéis e indica a relação de data do pedido como a relação ativa mais comum [2].</w:t>
      </w:r>
    </w:p>
    <w:p>
      <w:pPr>
        <w:pStyle w:val="Heading2"/>
      </w:pPr>
      <w:r>
        <w:t>4.4 DueDateKey e ShipDateKey mantidos como relacionamentos inativos</w:t>
      </w:r>
    </w:p>
    <w:p>
      <w:r>
        <w:t>As relações com DueDateKey e ShipDateKey foram criadas, porém deixadas inativas. O Power BI permite apenas uma relação ativa entre o mesmo par de tabelas; relações adicionais podem permanecer inativas e ser ativadas em cálculos específicos [2][3]. Quando houver necessidade de analisar prazo de entrega ou vendas por data de envio, medidas DAX poderão utilizar USERELATIONSHIP para habilitar temporariamente o relacionamento desejado [4].</w:t>
      </w:r>
    </w:p>
    <w:p>
      <w:pPr>
        <w:pStyle w:val="Heading2"/>
      </w:pPr>
      <w:r>
        <w:t>4.5 Ausência de ligação direta entre DimSalesTerritory e DimGeography</w:t>
      </w:r>
    </w:p>
    <w:p>
      <w:r>
        <w:t>Apesar de DimGeography possuir SalesTerritoryKey, não foi mantida uma ligação direta entre DimSalesTerritory e DimGeography. O território já se relaciona diretamente com FactInternetSales, enquanto a geografia chega às vendas pelo caminho DimGeography → DimCustomer → FactInternetSales. Evitar uma ligação adicional reduz a possibilidade de múltiplos caminhos ativos de propagação de filtros e mantém o modelo mais previsível.</w:t>
      </w:r>
    </w:p>
    <w:p>
      <w:pPr>
        <w:pStyle w:val="Heading1"/>
      </w:pPr>
      <w:r>
        <w:t>5. Validações realizadas</w:t>
      </w:r>
    </w:p>
    <w:p>
      <w:pPr>
        <w:pStyle w:val="ListBullet"/>
      </w:pPr>
      <w:r>
        <w:rPr>
          <w:b/>
        </w:rPr>
        <w:t xml:space="preserve">Relacionamentos existentes: </w:t>
      </w:r>
      <w:r>
        <w:t>Conferidos em Gerenciar relações.</w:t>
      </w:r>
    </w:p>
    <w:p>
      <w:pPr>
        <w:pStyle w:val="ListBullet"/>
      </w:pPr>
      <w:r>
        <w:rPr>
          <w:b/>
        </w:rPr>
        <w:t xml:space="preserve">Relacionamentos ausentes: </w:t>
      </w:r>
      <w:r>
        <w:t>Criados manualmente com as chaves correspondentes.</w:t>
      </w:r>
    </w:p>
    <w:p>
      <w:pPr>
        <w:pStyle w:val="ListBullet"/>
      </w:pPr>
      <w:r>
        <w:rPr>
          <w:b/>
        </w:rPr>
        <w:t xml:space="preserve">Cardinalidade: </w:t>
      </w:r>
      <w:r>
        <w:t>Validada como 1:* em todos os vínculos.</w:t>
      </w:r>
    </w:p>
    <w:p>
      <w:pPr>
        <w:pStyle w:val="ListBullet"/>
      </w:pPr>
      <w:r>
        <w:rPr>
          <w:b/>
        </w:rPr>
        <w:t xml:space="preserve">Direção de filtro: </w:t>
      </w:r>
      <w:r>
        <w:t>Validada como Único.</w:t>
      </w:r>
    </w:p>
    <w:p>
      <w:pPr>
        <w:pStyle w:val="ListBullet"/>
      </w:pPr>
      <w:r>
        <w:rPr>
          <w:b/>
        </w:rPr>
        <w:t xml:space="preserve">Relações temporais: </w:t>
      </w:r>
      <w:r>
        <w:t>OrderDateKey ativa; DueDateKey e ShipDateKey inativas.</w:t>
      </w:r>
    </w:p>
    <w:p>
      <w:pPr>
        <w:pStyle w:val="ListBullet"/>
      </w:pPr>
      <w:r>
        <w:rPr>
          <w:b/>
        </w:rPr>
        <w:t xml:space="preserve">Status: </w:t>
      </w:r>
      <w:r>
        <w:t>Sete relações ativas e duas inativas.</w:t>
      </w:r>
    </w:p>
    <w:p>
      <w:pPr>
        <w:pStyle w:val="ListBullet"/>
      </w:pPr>
      <w:r>
        <w:rPr>
          <w:b/>
        </w:rPr>
        <w:t xml:space="preserve">Modelo final: </w:t>
      </w:r>
      <w:r>
        <w:t>Oito tabelas conectadas sem relação muitos-para-muitos e sem filtro bidirecional.</w:t>
      </w:r>
    </w:p>
    <w:p>
      <w:pPr>
        <w:sectPr>
          <w:headerReference w:type="default" r:id="rId9"/>
          <w:footerReference w:type="default" r:id="rId10"/>
          <w:pgSz w:w="12240" w:h="15840"/>
          <w:pgMar w:top="1037" w:right="1123" w:bottom="1037" w:left="1123" w:header="720" w:footer="720" w:gutter="0"/>
          <w:cols w:space="720"/>
          <w:docGrid w:linePitch="360"/>
        </w:sectPr>
      </w:pPr>
    </w:p>
    <w:p>
      <w:pPr>
        <w:pStyle w:val="Heading1"/>
      </w:pPr>
      <w:r>
        <w:t>6. Evidências da execução</w:t>
      </w:r>
    </w:p>
    <w:p>
      <w:r>
        <w:t>As capturas abaixo registram o estado final dos relacionamentos e a estrutura visual do modelo após a validação.</w:t>
      </w:r>
    </w:p>
    <w:p>
      <w:pPr>
        <w:pStyle w:val="Figura"/>
        <w:keepNext/>
        <w:jc w:val="center"/>
      </w:pPr>
      <w:r>
        <w:t>Figura 1 - Gerenciar relações com OrderDateKey ativo e DueDateKey/ShipDateKey inativos. Fonte: elaboração própria, Power BI Desktop (25/10/2026).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3960" cy="49610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5-155728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961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Figura"/>
        <w:keepNext/>
        <w:jc w:val="center"/>
      </w:pPr>
      <w:r>
        <w:t>Figura 2 - Visão geral do modelo após a criação e validação dos relacionamentos. Fonte: elaboração própria, Power BI Desktop (25/10/2026).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3960" cy="2171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5-160247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2171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Figura"/>
        <w:keepNext/>
        <w:jc w:val="center"/>
      </w:pPr>
      <w:r>
        <w:t>Figura 3 - Cadeia de produto e dimensão de território. Fonte: elaboração própria, Power BI Desktop (25/10/2026).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3960" cy="2934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5-160249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2934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Figura"/>
        <w:keepNext/>
        <w:jc w:val="center"/>
      </w:pPr>
      <w:r>
        <w:t>Figura 4 - Relações de geografia, cliente, data e FactInternetSales. Fonte: elaboração própria, Power BI Desktop (25/10/2026).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3960" cy="34700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5-160250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3470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1"/>
          <w:footerReference w:type="default" r:id="rId12"/>
          <w:pgSz w:w="15840" w:h="12240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7. Resultado da tarefa</w:t>
      </w:r>
    </w:p>
    <w:p>
      <w:r>
        <w:t>A carga das tabelas e a validação dos relacionamentos foram concluídas com sucesso. O modelo possui um fluxo de filtros consistente, chaves dimensionais conectadas às tabelas correspondentes e uma estratégia temporal adequada para as três datas da FactInternetSales. A configuração obtida fornece uma base confiável para a próxima atividade da Fase 2: organizar visualmente o modelo dimensional e preparar as hierarquias analíticas.</w:t>
      </w:r>
    </w:p>
    <w:p>
      <w:r>
        <w:rPr>
          <w:b/>
        </w:rPr>
        <w:t xml:space="preserve">Status final: </w:t>
      </w:r>
      <w:r>
        <w:rPr>
          <w:b/>
          <w:color w:val="008000"/>
        </w:rPr>
        <w:t>TAREFA CONCLUÍDA</w:t>
      </w:r>
    </w:p>
    <w:p>
      <w:pPr>
        <w:pStyle w:val="Heading1"/>
      </w:pPr>
      <w:r>
        <w:t>8. Referências utilizadas</w:t>
      </w:r>
    </w:p>
    <w:p>
      <w:pPr>
        <w:spacing w:after="80"/>
      </w:pPr>
      <w:r>
        <w:rPr>
          <w:b/>
        </w:rPr>
        <w:t xml:space="preserve">[1] Microsoft Learn. Criar e gerenciar relações no Power BI Desktop. </w:t>
      </w:r>
      <w:r>
        <w:rPr>
          <w:color w:val="0563C1"/>
          <w:u w:val="single"/>
        </w:rPr>
        <w:t>https://learn.microsoft.com/pt-br/power-bi/transform-model/desktop-create-and-manage-relationships</w:t>
      </w:r>
    </w:p>
    <w:p>
      <w:pPr>
        <w:spacing w:after="80"/>
      </w:pPr>
      <w:r>
        <w:rPr>
          <w:b/>
        </w:rPr>
        <w:t xml:space="preserve">[2] Microsoft Learn. Entenda o esquema em estrela e a importância para o Power BI. </w:t>
      </w:r>
      <w:r>
        <w:rPr>
          <w:color w:val="0563C1"/>
          <w:u w:val="single"/>
        </w:rPr>
        <w:t>https://learn.microsoft.com/pt-br/power-bi/guidance/star-schema</w:t>
      </w:r>
    </w:p>
    <w:p>
      <w:pPr>
        <w:spacing w:after="80"/>
      </w:pPr>
      <w:r>
        <w:rPr>
          <w:b/>
        </w:rPr>
        <w:t xml:space="preserve">[3] Microsoft Learn. Diretrizes de relação ativas versus inativas. </w:t>
      </w:r>
      <w:r>
        <w:rPr>
          <w:color w:val="0563C1"/>
          <w:u w:val="single"/>
        </w:rPr>
        <w:t>https://learn.microsoft.com/pt-br/power-bi/guidance/relationships-active-inactive</w:t>
      </w:r>
    </w:p>
    <w:p>
      <w:pPr>
        <w:spacing w:after="80"/>
      </w:pPr>
      <w:r>
        <w:rPr>
          <w:b/>
        </w:rPr>
        <w:t xml:space="preserve">[4] Microsoft Learn. Função USERELATIONSHIP (DAX). </w:t>
      </w:r>
      <w:r>
        <w:rPr>
          <w:color w:val="0563C1"/>
          <w:u w:val="single"/>
        </w:rPr>
        <w:t>https://learn.microsoft.com/pt-br/dax/userelationship-function-dax</w:t>
      </w:r>
    </w:p>
    <w:p>
      <w:r>
        <w:rPr>
          <w:i/>
          <w:sz w:val="18"/>
        </w:rPr>
        <w:t>Acesso em: 25 out. 2026.</w:t>
      </w:r>
    </w:p>
    <w:sectPr w:rsidR="00FC693F" w:rsidRPr="0006063C" w:rsidSect="00034616">
      <w:headerReference w:type="default" r:id="rId17"/>
      <w:footerReference w:type="default" r:id="rId18"/>
      <w:pgSz w:w="15840" w:h="122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6"/>
      </w:rPr>
      <w:t>Relatório técnico - Carregar os dados e validar os relacionamentos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6"/>
      </w:rPr>
      <w:t>Relatório técnico - Carregar os dados e validar os relacionamentos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6"/>
      </w:rPr>
      <w:t>Relatório técnico - Carregar os dados e validar os relacionamentos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6464"/>
        <w:sz w:val="17"/>
      </w:rPr>
      <w:t>AdventureWorks - Dashboard Analítico | Fase 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6464"/>
        <w:sz w:val="17"/>
      </w:rPr>
      <w:t>AdventureWorks - Dashboard Analítico | Fase 2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6464"/>
        <w:sz w:val="17"/>
      </w:rPr>
      <w:t>AdventureWorks - Dashboard Analítico | Fase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a">
    <w:name w:val="Figura"/>
    <w:pPr>
      <w:keepNext/>
      <w:spacing w:before="60" w:after="140"/>
    </w:pPr>
    <w:rPr>
      <w:rFonts w:ascii="Aptos" w:hAnsi="Aptos"/>
      <w:i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eader" Target="header3.xml"/><Relationship Id="rId1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2 - Tarefa 2 - Carregar os dados e validar os relacionamentos</dc:title>
  <dc:subject>AdventureWorks Power BI - Relacionamentos do modelo</dc:subject>
  <dc:creator>Phablo Correia</dc:creator>
  <cp:keywords>Power BI, AdventureWorks, relacionamentos, modelagem dimensional, SQL Server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