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5E389B"/>
          <w:sz w:val="22"/>
        </w:rPr>
        <w:t>DEMONSTRAÇÃO DE COMPETÊNCIA</w:t>
      </w:r>
    </w:p>
    <w:p>
      <w:pPr>
        <w:pStyle w:val="Title"/>
        <w:jc w:val="center"/>
      </w:pPr>
      <w:r>
        <w:t>Relatório Técnico</w:t>
        <w:br/>
        <w:t>Fase 2 — Tarefa 1</w:t>
      </w:r>
    </w:p>
    <w:p>
      <w:pPr>
        <w:spacing w:before="240"/>
        <w:jc w:val="center"/>
      </w:pPr>
      <w:r>
        <w:rPr>
          <w:b/>
          <w:sz w:val="29"/>
        </w:rPr>
        <w:t>Revisar e preparar as tabelas no Power Query</w:t>
      </w:r>
    </w:p>
    <w:p>
      <w:pPr>
        <w:spacing w:before="280"/>
        <w:jc w:val="center"/>
      </w:pPr>
      <w:r>
        <w:rPr>
          <w:color w:val="5A5A5A"/>
          <w:sz w:val="22"/>
        </w:rPr>
        <w:t>AdventureWorksDW2025 • SQL Server • Microsoft Power BI</w:t>
      </w:r>
    </w:p>
    <w:p>
      <w:pPr>
        <w:spacing w:before="1700"/>
        <w:jc w:val="center"/>
      </w:pPr>
      <w:r>
        <w:rPr>
          <w:sz w:val="20"/>
        </w:rPr>
        <w:t>Projeto acadêmico — Dashboard Analítico</w:t>
        <w:br/>
        <w:t>22 de outubro de 2026</w:t>
      </w:r>
    </w:p>
    <w:p>
      <w:r>
        <w:br w:type="page"/>
      </w:r>
    </w:p>
    <w:p>
      <w:pPr>
        <w:pStyle w:val="Heading1"/>
      </w:pPr>
      <w:r>
        <w:t>1. Objetivo da tarefa</w:t>
      </w:r>
    </w:p>
    <w:p>
      <w:r>
        <w:t>O objetivo desta atividade foi revisar e preparar as oito tabelas selecionadas do AdventureWorksDW2025 no Editor do Power Query antes de carregá-las para o modelo do Power BI. A preparação envolveu redução de colunas, remoção de colunas de navegação, validação de tipos de dados e correção de inconsistências identificadas durante o tratamento.</w:t>
      </w:r>
    </w:p>
    <w:p>
      <w:pPr>
        <w:pStyle w:val="Heading1"/>
      </w:pPr>
      <w:r>
        <w:t>2. Escopo do tratamento</w:t>
      </w:r>
    </w:p>
    <w:p>
      <w:r>
        <w:t>Foram mantidas as oito consultas definidas na Fase 1:</w:t>
      </w:r>
    </w:p>
    <w:p>
      <w:pPr>
        <w:pStyle w:val="ListBullet"/>
        <w:spacing w:after="20"/>
      </w:pPr>
      <w:r>
        <w:t>FactInternetSales</w:t>
      </w:r>
    </w:p>
    <w:p>
      <w:pPr>
        <w:pStyle w:val="ListBullet"/>
        <w:spacing w:after="20"/>
      </w:pPr>
      <w:r>
        <w:t>DimDate</w:t>
      </w:r>
    </w:p>
    <w:p>
      <w:pPr>
        <w:pStyle w:val="ListBullet"/>
        <w:spacing w:after="20"/>
      </w:pPr>
      <w:r>
        <w:t>DimCustomer</w:t>
      </w:r>
    </w:p>
    <w:p>
      <w:pPr>
        <w:pStyle w:val="ListBullet"/>
        <w:spacing w:after="20"/>
      </w:pPr>
      <w:r>
        <w:t>DimGeography</w:t>
      </w:r>
    </w:p>
    <w:p>
      <w:pPr>
        <w:pStyle w:val="ListBullet"/>
        <w:spacing w:after="20"/>
      </w:pPr>
      <w:r>
        <w:t>DimProduct</w:t>
      </w:r>
    </w:p>
    <w:p>
      <w:pPr>
        <w:pStyle w:val="ListBullet"/>
        <w:spacing w:after="20"/>
      </w:pPr>
      <w:r>
        <w:t>DimProductSubcategory</w:t>
      </w:r>
    </w:p>
    <w:p>
      <w:pPr>
        <w:pStyle w:val="ListBullet"/>
        <w:spacing w:after="20"/>
      </w:pPr>
      <w:r>
        <w:t>DimProductCategory</w:t>
      </w:r>
    </w:p>
    <w:p>
      <w:pPr>
        <w:pStyle w:val="ListBullet"/>
        <w:spacing w:after="20"/>
      </w:pPr>
      <w:r>
        <w:t>DimSalesTerritory</w:t>
      </w:r>
    </w:p>
    <w:p>
      <w:r>
        <w:rPr>
          <w:b/>
        </w:rPr>
        <w:t xml:space="preserve">Princípio adotado: </w:t>
      </w:r>
      <w:r>
        <w:t>manter apenas campos úteis para relacionamentos, KPIs, filtros, hierarquias e análises do dashboard, evitando atributos sem utilidade analítica ou objetos binários/descritivos pesados.</w:t>
      </w:r>
    </w:p>
    <w:p>
      <w:pPr>
        <w:pStyle w:val="Heading1"/>
      </w:pPr>
      <w:r>
        <w:t>3. Redução e seleção de colunas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EDE7F6"/>
          </w:tcPr>
          <w:p>
            <w:r>
              <w:rPr>
                <w:b/>
                <w:sz w:val="18"/>
              </w:rPr>
              <w:t>Tabela</w:t>
            </w:r>
          </w:p>
        </w:tc>
        <w:tc>
          <w:tcPr>
            <w:tcW w:type="dxa" w:w="3331"/>
            <w:shd w:fill="EDE7F6"/>
          </w:tcPr>
          <w:p>
            <w:r>
              <w:rPr>
                <w:b/>
                <w:sz w:val="18"/>
              </w:rPr>
              <w:t>Colunas</w:t>
            </w:r>
          </w:p>
        </w:tc>
        <w:tc>
          <w:tcPr>
            <w:tcW w:type="dxa" w:w="3331"/>
            <w:shd w:fill="EDE7F6"/>
          </w:tcPr>
          <w:p>
            <w:r>
              <w:rPr>
                <w:b/>
                <w:sz w:val="18"/>
              </w:rPr>
              <w:t>Critério de manutenção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FactInternetSales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Chaves, pedido, valores, custos e datas.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DimDate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Data e atributos de calendário.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DimCustomer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Chaves e perfil do cliente.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DimGeography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Cidade, estado, país, CEP e território.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DimProduct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Produto, preço, custo e atributos analíticos.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DimProductSubcategory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Chave, subcategoria e categoria.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DimProductCategory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Chave e nome da categoria.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DimSalesTerritory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8"/>
              </w:rPr>
              <w:t>Chave, região, país e grupo.</w:t>
            </w:r>
          </w:p>
        </w:tc>
      </w:tr>
    </w:tbl>
    <w:p>
      <w:pPr>
        <w:spacing w:before="80"/>
      </w:pPr>
      <w:r>
        <w:rPr>
          <w:b w:val="0"/>
        </w:rPr>
        <w:t xml:space="preserve">Também foram removidas colunas de navegação </w:t>
      </w:r>
      <w:r>
        <w:rPr>
          <w:b/>
        </w:rPr>
        <w:t>Table/Value</w:t>
      </w:r>
      <w:r>
        <w:t xml:space="preserve"> geradas pelo conector do SQL Server. Os relacionamentos serão tratados posteriormente na Exibição de Modelo do Power BI, evitando estruturas aninhadas desnecessárias nas consultas.</w:t>
      </w:r>
    </w:p>
    <w:p>
      <w:r>
        <w:br w:type="page"/>
      </w:r>
    </w:p>
    <w:p>
      <w:pPr>
        <w:pStyle w:val="Heading1"/>
      </w:pPr>
      <w:r>
        <w:t>4. Tratamento das principais tabelas</w:t>
      </w:r>
    </w:p>
    <w:p>
      <w:pPr>
        <w:pStyle w:val="Heading2"/>
      </w:pPr>
      <w:r>
        <w:t>4.1 FactInternetSales</w:t>
      </w:r>
    </w:p>
    <w:p>
      <w:r>
        <w:t>A tabela fato foi reduzida para 21 colunas, preservando as chaves de relacionamento e os campos necessários para os KPIs de receita, custo, margem, pedidos, unidades vendidas, descontos, frete e prazo de envio.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29320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9334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32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1 — Seleção das colunas necessárias da FactInternetSales no Power Query.</w:t>
      </w:r>
    </w:p>
    <w:p>
      <w:r>
        <w:t>Após a seleção, foram revisados os tipos de dados. As chaves e quantidades foram definidas como número inteiro; valores monetários permaneceram como número decimal fixo/moeda; datas de pedido, vencimento e envio foram convertidas para o tipo Data.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2914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073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1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2 — FactInternetSales após redução das colunas e ajuste dos tipos de dados.</w:t>
      </w:r>
    </w:p>
    <w:p>
      <w:pPr>
        <w:pStyle w:val="Heading2"/>
      </w:pPr>
      <w:r>
        <w:t>4.2 DimDate</w:t>
      </w:r>
    </w:p>
    <w:p>
      <w:r>
        <w:t>A dimensão de datas foi simplificada para 12 colunas. Foram removidos nomes de mês/dia em outros idiomas, campos fiscais não utilizados e colunas de navegação para outras tabelas. Os atributos numéricos foram convertidos para número inteiro, enquanto FullDateAlternateKey foi mantida como Data.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85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9581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85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3 — DimDate com atributos numéricos configurados como número inteiro.</w:t>
      </w:r>
    </w:p>
    <w:p>
      <w:pPr>
        <w:pStyle w:val="Heading2"/>
      </w:pPr>
      <w:r>
        <w:t>4.3 DimCustomer</w:t>
      </w:r>
    </w:p>
    <w:p>
      <w:r>
        <w:t>A dimensão de clientes foi reduzida para 17 colunas, preservando chaves, identificação básica e atributos úteis para segmentação, como gênero, renda, educação, ocupação, quantidade de filhos, carros e data da primeira compra.</w:t>
      </w:r>
    </w:p>
    <w:p>
      <w:r>
        <w:rPr>
          <w:b/>
        </w:rPr>
        <w:t xml:space="preserve">Ocorrência identificada durante o tratamento: </w:t>
      </w:r>
      <w:r>
        <w:t>o campo CustomerAlternateKey foi convertido acidentalmente para número decimal. Como seus valores seguem o padrão alfanumérico AW00011000, a conversão gerou erros. O tipo foi corrigido para Texto, eliminando os erros e preservando os identificadores originais.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60520" cy="22322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002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232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4 — Erros causados pela conversão indevida de CustomerAlternateKey para número.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62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005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5 — DimCustomer após correção de CustomerAlternateKey para Texto.</w:t>
      </w:r>
    </w:p>
    <w:p>
      <w:pPr>
        <w:pStyle w:val="Heading1"/>
      </w:pPr>
      <w:r>
        <w:t>5. Preparação das demais dimensões</w:t>
      </w:r>
    </w:p>
    <w:p>
      <w:r>
        <w:rPr>
          <w:b/>
        </w:rPr>
        <w:t xml:space="preserve">DimGeography: </w:t>
      </w:r>
      <w:r>
        <w:t>Mantidos GeographyKey, City, StateProvinceCode, StateProvinceName, CountryRegionCode, EnglishCountryRegionName, PostalCode e SalesTerritoryKey. PostalCode foi mantido como Texto.</w:t>
      </w:r>
    </w:p>
    <w:p>
      <w:r>
        <w:rPr>
          <w:b/>
        </w:rPr>
        <w:t xml:space="preserve">DimProduct: </w:t>
      </w:r>
      <w:r>
        <w:t>Mantidos atributos necessários para análise de produto, custos, preços e hierarquia. Foram removidas fotos, descrições multilíngues e atributos sem uso no dashboard.</w:t>
      </w:r>
    </w:p>
    <w:p>
      <w:r>
        <w:rPr>
          <w:b/>
        </w:rPr>
        <w:t xml:space="preserve">DimProductSubcategory: </w:t>
      </w:r>
      <w:r>
        <w:t>Mantidos ProductSubcategoryKey, EnglishProductSubcategoryName e ProductCategoryKey.</w:t>
      </w:r>
    </w:p>
    <w:p>
      <w:r>
        <w:rPr>
          <w:b/>
        </w:rPr>
        <w:t xml:space="preserve">DimProductCategory: </w:t>
      </w:r>
      <w:r>
        <w:t>Mantidos ProductCategoryKey e EnglishProductCategoryName.</w:t>
      </w:r>
    </w:p>
    <w:p>
      <w:r>
        <w:rPr>
          <w:b/>
        </w:rPr>
        <w:t xml:space="preserve">DimSalesTerritory: </w:t>
      </w:r>
      <w:r>
        <w:t>Mantidos SalesTerritoryKey, SalesTerritoryRegion, SalesTerritoryCountry e SalesTerritoryGroup; a imagem do território e colunas de navegação foram excluídas.</w:t>
      </w:r>
    </w:p>
    <w:p>
      <w:pPr>
        <w:pStyle w:val="Heading1"/>
      </w:pPr>
      <w:r>
        <w:t>6. Tipos de dados padronizados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DE7F6"/>
          </w:tcPr>
          <w:p>
            <w:r>
              <w:rPr>
                <w:b/>
              </w:rPr>
              <w:t>Grupo de campos</w:t>
            </w:r>
          </w:p>
        </w:tc>
        <w:tc>
          <w:tcPr>
            <w:tcW w:type="dxa" w:w="4997"/>
            <w:shd w:fill="EDE7F6"/>
          </w:tcPr>
          <w:p>
            <w:r>
              <w:rPr>
                <w:b/>
              </w:rPr>
              <w:t>Tipo adotado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t>Chaves dimensionais e estrangeiras</w:t>
            </w:r>
          </w:p>
        </w:tc>
        <w:tc>
          <w:tcPr>
            <w:tcW w:type="dxa" w:w="4997"/>
          </w:tcPr>
          <w:p>
            <w:r>
              <w:t>Número inteiro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t>Quantidades e contagens</w:t>
            </w:r>
          </w:p>
        </w:tc>
        <w:tc>
          <w:tcPr>
            <w:tcW w:type="dxa" w:w="4997"/>
          </w:tcPr>
          <w:p>
            <w:r>
              <w:t>Número inteiro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t>Nomes, códigos e atributos categóricos</w:t>
            </w:r>
          </w:p>
        </w:tc>
        <w:tc>
          <w:tcPr>
            <w:tcW w:type="dxa" w:w="4997"/>
          </w:tcPr>
          <w:p>
            <w:r>
              <w:t>Texto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t>Valores monetários</w:t>
            </w:r>
          </w:p>
        </w:tc>
        <w:tc>
          <w:tcPr>
            <w:tcW w:type="dxa" w:w="4997"/>
          </w:tcPr>
          <w:p>
            <w:r>
              <w:t>Número decimal fixo / Moeda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t>Percentuais e medidas decimais</w:t>
            </w:r>
          </w:p>
        </w:tc>
        <w:tc>
          <w:tcPr>
            <w:tcW w:type="dxa" w:w="4997"/>
          </w:tcPr>
          <w:p>
            <w:r>
              <w:t>Número decimal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t>Datas de negócio</w:t>
            </w:r>
          </w:p>
        </w:tc>
        <w:tc>
          <w:tcPr>
            <w:tcW w:type="dxa" w:w="4997"/>
          </w:tcPr>
          <w:p>
            <w:r>
              <w:t>Data</w:t>
            </w:r>
          </w:p>
        </w:tc>
      </w:tr>
    </w:tbl>
    <w:p>
      <w:pPr>
        <w:pStyle w:val="Heading1"/>
      </w:pPr>
      <w:r>
        <w:t>7. Aplicação das transformações</w:t>
      </w:r>
    </w:p>
    <w:p>
      <w:r>
        <w:t>Após a revisão, as transformações foram aplicadas com o comando “Fechar e Aplicar”. O Power BI avaliou e carregou as oito consultas tratadas para o modelo.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57800" cy="28349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090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6 — Aplicação e carregamento das transformações realizadas no Power Query.</w:t>
      </w:r>
    </w:p>
    <w:p>
      <w:r>
        <w:t>Ao término da carga, as oito tabelas passaram a aparecer no painel Dados do Power BI, confirmando a conclusão da preparação e disponibilizando o modelo para a etapa seguinte de validação dos relacionamentos.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57800" cy="28294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01255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9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7"/>
        </w:rPr>
        <w:t>Figura 7 — Oito tabelas carregadas no Power BI após o tratamento.</w:t>
      </w:r>
    </w:p>
    <w:p>
      <w:pPr>
        <w:pStyle w:val="Heading1"/>
      </w:pPr>
      <w:r>
        <w:t>8. Resultado da tarefa</w:t>
      </w:r>
    </w:p>
    <w:p>
      <w:pPr>
        <w:pStyle w:val="ListBullet"/>
        <w:spacing w:after="20"/>
      </w:pPr>
      <w:r>
        <w:t>As oito tabelas foram reduzidas para os campos necessários ao projeto.</w:t>
      </w:r>
    </w:p>
    <w:p>
      <w:pPr>
        <w:pStyle w:val="ListBullet"/>
        <w:spacing w:after="20"/>
      </w:pPr>
      <w:r>
        <w:t>Colunas de navegação e atributos sem utilidade analítica foram removidos.</w:t>
      </w:r>
    </w:p>
    <w:p>
      <w:pPr>
        <w:pStyle w:val="ListBullet"/>
        <w:spacing w:after="20"/>
      </w:pPr>
      <w:r>
        <w:t>Os tipos de dados foram padronizados conforme a função de cada campo.</w:t>
      </w:r>
    </w:p>
    <w:p>
      <w:pPr>
        <w:pStyle w:val="ListBullet"/>
        <w:spacing w:after="20"/>
      </w:pPr>
      <w:r>
        <w:t>Erros de conversão identificados durante o tratamento foram corrigidos.</w:t>
      </w:r>
    </w:p>
    <w:p>
      <w:pPr>
        <w:pStyle w:val="ListBullet"/>
        <w:spacing w:after="20"/>
      </w:pPr>
      <w:r>
        <w:t>As transformações foram aplicadas com sucesso e as tabelas foram carregadas no Power BI.</w:t>
      </w:r>
    </w:p>
    <w:p>
      <w:pPr>
        <w:pStyle w:val="ListBullet"/>
        <w:spacing w:after="20"/>
      </w:pPr>
      <w:r>
        <w:t>O modelo está pronto para a próxima tarefa: validar relacionamentos, cardinalidades e direções de filtro.</w:t>
      </w:r>
    </w:p>
    <w:p>
      <w:pPr>
        <w:pStyle w:val="Heading1"/>
      </w:pPr>
      <w:r>
        <w:t>9. Conclusão</w:t>
      </w:r>
    </w:p>
    <w:p>
      <w:r>
        <w:t>A revisão no Power Query reduziu a complexidade do conjunto de dados e preparou uma camada analítica mais adequada ao dashboard. A manutenção apenas dos campos relevantes melhora a organização do modelo e facilita a criação de relacionamentos, medidas DAX, hierarquias e visuais nas fases posteriores. A etapa foi concluída com as oito tabelas tratadas e carregadas no Power BI.</w:t>
      </w:r>
    </w:p>
    <w:p>
      <w:pPr>
        <w:pStyle w:val="Heading1"/>
      </w:pPr>
      <w:r>
        <w:t>10. Referências</w:t>
      </w:r>
    </w:p>
    <w:p>
      <w:pPr>
        <w:pStyle w:val="ListBullet"/>
      </w:pPr>
      <w:r>
        <w:rPr>
          <w:b/>
        </w:rPr>
        <w:t xml:space="preserve">Microsoft Learn — Power Query para Power BI Desktop. </w:t>
      </w:r>
      <w:r>
        <w:t>https://learn.microsoft.com/power-bi/transform-model/desktop-query-overview</w:t>
      </w:r>
    </w:p>
    <w:p>
      <w:pPr>
        <w:pStyle w:val="ListBullet"/>
      </w:pPr>
      <w:r>
        <w:rPr>
          <w:b/>
        </w:rPr>
        <w:t xml:space="preserve">Microsoft Learn — Tipos de dados no Power Query. </w:t>
      </w:r>
      <w:r>
        <w:t>https://learn.microsoft.com/power-query/data-types</w:t>
      </w:r>
    </w:p>
    <w:p>
      <w:pPr>
        <w:pStyle w:val="ListBullet"/>
      </w:pPr>
      <w:r>
        <w:rPr>
          <w:b/>
        </w:rPr>
        <w:t xml:space="preserve">Microsoft Learn — Orientação de Star Schema no Power BI. </w:t>
      </w:r>
      <w:r>
        <w:t>https://learn.microsoft.com/power-bi/guidance/star-schema</w:t>
      </w:r>
    </w:p>
    <w:p>
      <w:pPr>
        <w:pStyle w:val="ListBullet"/>
      </w:pPr>
      <w:r>
        <w:rPr>
          <w:b/>
        </w:rPr>
        <w:t xml:space="preserve">Microsoft Learn — Conector SQL Server no Power Query. </w:t>
      </w:r>
      <w:r>
        <w:t>https://learn.microsoft.com/power-query/connectors/sql-server</w:t>
      </w:r>
    </w:p>
    <w:sectPr w:rsidR="00FC693F" w:rsidRPr="0006063C" w:rsidSect="00034616">
      <w:footerReference w:type="default" r:id="rId16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AdventureWorks Power BI Dashboard — Fase 2 — Tarefa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4C27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C27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