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 w:line="240" w:lineRule="auto"/>
        <w:jc w:val="center"/>
      </w:pPr>
      <w:r>
        <w:rPr>
          <w:b/>
          <w:color w:val="7A0019"/>
          <w:sz w:val="36"/>
          <w:rFonts w:ascii="Noto Serif Thai" w:hAnsi="Noto Serif Thai" w:eastAsia="Noto Serif Thai" w:cs="Noto Serif Thai"/>
        </w:rPr>
        <w:t>รายงานวิจัยฉบับสมบูรณ์</w:t>
      </w:r>
    </w:p>
    <w:p>
      <w:pPr>
        <w:spacing w:before="240" w:after="240" w:line="276" w:lineRule="auto"/>
        <w:jc w:val="center"/>
      </w:pPr>
      <w:r>
        <w:rPr>
          <w:b/>
          <w:color w:val="1F3864"/>
          <w:sz w:val="44"/>
          <w:rFonts w:ascii="Noto Serif Thai" w:hAnsi="Noto Serif Thai" w:eastAsia="Noto Serif Thai" w:cs="Noto Serif Thai"/>
        </w:rPr>
        <w:t>การสังเคราะห์สถาปัตยกรรมและการกำกับดูแลปัญญาประดิษฐ์เชิงตัวแทนระดับโลก</w:t>
      </w:r>
    </w:p>
    <w:p>
      <w:pPr>
        <w:spacing w:before="0" w:after="360" w:line="312" w:lineRule="auto"/>
        <w:jc w:val="center"/>
      </w:pPr>
      <w:r>
        <w:rPr>
          <w:b w:val="0"/>
          <w:color w:val="4F81BD"/>
          <w:sz w:val="32"/>
          <w:rFonts w:ascii="Noto Serif Thai" w:hAnsi="Noto Serif Thai" w:eastAsia="Noto Serif Thai" w:cs="Noto Serif Thai"/>
        </w:rPr>
        <w:t>จากกรอบนโยบายสู่ข้อเสนอการควบคุมเชิงวิศวกรรม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ชื่อเรื่อง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F"/>
          </w:tcPr>
          <w:p>
            <w:r/>
            <w:r>
              <w:rPr>
                <w:sz w:val="22"/>
                <w:rFonts w:ascii="Noto Serif Thai" w:hAnsi="Noto Serif Thai" w:eastAsia="Noto Serif Thai" w:cs="Noto Serif Thai"/>
              </w:rPr>
              <w:t>การสังเคราะห์สถาปัตยกรรมและการกำกับดูแลปัญญาประดิษฐ์เชิงตัวแทนระดับโลก: จากกรอบนโยบายสู่ข้อเสนอการควบคุมเชิงวิศวกรรม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ลักษณะเอกสาร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F"/>
          </w:tcPr>
          <w:p>
            <w:r/>
            <w:r>
              <w:rPr>
                <w:sz w:val="22"/>
                <w:rFonts w:ascii="Noto Serif Thai" w:hAnsi="Noto Serif Thai" w:eastAsia="Noto Serif Thai" w:cs="Noto Serif Thai"/>
              </w:rPr>
              <w:t>รายงานวิจัยเชิงวิชาการฉบับสมบูรณ์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สาขาวิชา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F"/>
          </w:tcPr>
          <w:p>
            <w:r/>
            <w:r>
              <w:rPr>
                <w:sz w:val="22"/>
                <w:rFonts w:ascii="Noto Serif Thai" w:hAnsi="Noto Serif Thai" w:eastAsia="Noto Serif Thai" w:cs="Noto Serif Thai"/>
              </w:rPr>
              <w:t>ปัญญาประดิษฐ์ การกำกับดูแลเทคโนโลยี และการออกแบบสถาปัตยกรรมระบบ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ผู้จัดทำ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F"/>
          </w:tcPr>
          <w:p>
            <w:r/>
            <w:r>
              <w:rPr>
                <w:sz w:val="22"/>
                <w:rFonts w:ascii="Noto Serif Thai" w:hAnsi="Noto Serif Thai" w:eastAsia="Noto Serif Thai" w:cs="Noto Serif Thai"/>
              </w:rPr>
              <w:t>จัดทำจากการสังเคราะห์เอกสารต้นฉบับที่ผู้ใช้จัดเตรียมร่วมกับแหล่งอ้างอิงทางการระดับสากล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วันที่จัดทำ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AFF"/>
          </w:tcPr>
          <w:p>
            <w:r/>
            <w:r>
              <w:rPr>
                <w:sz w:val="22"/>
                <w:rFonts w:ascii="Noto Serif Thai" w:hAnsi="Noto Serif Thai" w:eastAsia="Noto Serif Thai" w:cs="Noto Serif Thai"/>
              </w:rPr>
              <w:t>4 เมษายน 2026</w:t>
            </w:r>
          </w:p>
        </w:tc>
      </w:tr>
    </w:tbl>
    <w:p/>
    <w:p>
      <w:pPr>
        <w:spacing w:before="240" w:after="0" w:line="312" w:lineRule="auto"/>
        <w:jc w:val="center"/>
      </w:pPr>
      <w:r>
        <w:rPr>
          <w:i/>
          <w:color w:val="666666"/>
          <w:sz w:val="21"/>
          <w:rFonts w:ascii="Noto Serif Thai" w:hAnsi="Noto Serif Thai" w:eastAsia="Noto Serif Thai" w:cs="Noto Serif Thai"/>
        </w:rPr>
        <w:t>เอกสารฉบับนี้จัดทำเพื่อใช้เป็นต้นฉบับเชิงวิชาการ สามารถนำไปปรับรายละเอียดผู้วิจัย สังกัด และรูปแบบอ้างอิงให้สอดคล้องกับสถาบันปลายทางได้</w:t>
      </w:r>
    </w:p>
    <w:p>
      <w:r>
        <w:br w:type="page"/>
      </w:r>
    </w:p>
    <w:p>
      <w:pPr>
        <w:pStyle w:val="Heading1"/>
        <w:spacing w:before="0" w:after="160" w:line="312" w:lineRule="auto"/>
      </w:pPr>
      <w:r>
        <w:t>บทคัดย่อ</w:t>
      </w:r>
    </w:p>
    <w:p>
      <w:pPr>
        <w:spacing w:before="0" w:after="12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การเปลี่ยนผ่านของปัญญาประดิษฐ์จากระบบที่เน้นการตอบคำถามหรือสร้างเนื้อหา ไปสู่ระบบปัญญาประดิษฐ์เชิงตัวแทน (Agentic AI) ซึ่งสามารถวางแผน ใช้เครื่องมือ และดำเนินการหลายขั้นตอนด้วยระดับความเป็นอิสระที่สูงขึ้น ก่อให้เกิดความเสี่ยงเชิงโครงสร้างรูปแบบใหม่ ทั้งด้านความปลอดภัย ความน่าเชื่อถือ ความรับผิดชอบทางกฎหมาย และปฏิสัมพันธ์ระหว่างมนุษย์กับระบบอัตโนมัติ งานวิจัยนี้มีวัตถุประสงค์เพื่อศึกษาและสังเคราะห์ภูมิทัศน์การกำกับดูแล AI ระดับโลก วิเคราะห์ช่องว่างระหว่างกรอบกำกับดูแลเชิงนโยบายกับความต้องการเชิงวิศวกรรมของ Agentic AI และพัฒนาแนวทางสถาปัตยกรรมเชิงแนวคิดสำหรับระบบที่ตรวจสอบได้และรับผิดชอบได้จริง</w:t>
      </w:r>
    </w:p>
    <w:p>
      <w:pPr>
        <w:spacing w:before="0" w:after="12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ระเบียบวิธีวิจัยใช้การวิจัยเอกสารและการสังเคราะห์เชิงเปรียบเทียบ โดยใช้ต้นฉบับแนวคิดที่ผู้ใช้จัดเตรียมเป็นฐาน ร่วมกับเอกสารทางการและแหล่งอ้างอิงร่วมสมัย เช่น EU AI Act, NIST AI Risk Management Framework, ISO/IEC 42001, แนวปฏิบัติของ ETDA ประเทศไทย ตลอดจนหลักฐานวิจัยที่เกี่ยวข้องกับ calibration, honesty และ alignment ของโมเดลขั้นสูง</w:t>
      </w:r>
    </w:p>
    <w:p>
      <w:pPr>
        <w:spacing w:before="0" w:after="12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ผลการศึกษาพบว่า การกำกับดูแล AI ในระดับโลกกำลังเปลี่ยนจากแนวคิดการใช้ AI อย่างรับผิดชอบเชิงนโยบาย ไปสู่ความจำเป็นของการออกแบบให้ระบบบังคับข้อกำหนดด้านความรับผิดชอบได้ตั้งแต่ระดับโครงสร้าง โดยเฉพาะในระบบความเสี่ยงสูงและระบบหลายตัวแทน นอกจากนี้ หลักฐานวิจัยร่วมสมัยยังชี้ว่าความแม่นยำของโมเดลไม่ได้เท่ากับความซื่อสัตย์ของระบบ และการประเมินความปลอดภัยแบบเดิมอาจไม่เพียงพอสำหรับการตรวจจับพฤติกรรมเชิงกลยุทธ์หรือการแสร้งสอดคล้องของระบบขั้นสูง</w:t>
      </w:r>
    </w:p>
    <w:p>
      <w:pPr>
        <w:spacing w:before="0" w:after="12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ข้อเสนอสำคัญของงานวิจัยนี้คือ การกำกับดูแล Agentic AI ควรประกอบด้วยอย่างน้อย 4 ชั้น ได้แก่ (1) ชั้นกฎหมายและมาตรฐาน (2) ชั้นการบริหารความเสี่ยงตลอดวงจรชีวิต (3) ชั้นการวัด honesty และ calibration อย่างต่อเนื่อง และ (4) ชั้นการบันทึกเหตุผลและเส้นทางการตัดสินใจที่ตรวจสอบย้อนกลับได้ ทั้งนี้ กรอบอย่าง RAAIA 3.1, GLUE v2.0 และ LeJEPA ที่ปรากฏในต้นฉบับควรถูกวางสถานะเป็นข้อเสนอเชิงสถาปัตยกรรมซึ่งยังต้องการหลักฐานเชิงประจักษ์และการทดสอบซ้ำเพิ่มเติม</w:t>
      </w:r>
    </w:p>
    <w:p>
      <w:pPr>
        <w:spacing w:before="120" w:after="0" w:line="312" w:lineRule="auto"/>
      </w:pPr>
      <w:r>
        <w:rPr>
          <w:b/>
          <w:sz w:val="23"/>
          <w:rFonts w:ascii="Noto Serif Thai" w:hAnsi="Noto Serif Thai" w:eastAsia="Noto Serif Thai" w:cs="Noto Serif Thai"/>
        </w:rPr>
        <w:t xml:space="preserve">คำสำคัญ: </w:t>
      </w:r>
      <w:r>
        <w:rPr>
          <w:sz w:val="23"/>
          <w:rFonts w:ascii="Noto Serif Thai" w:hAnsi="Noto Serif Thai" w:eastAsia="Noto Serif Thai" w:cs="Noto Serif Thai"/>
        </w:rPr>
        <w:t>Agentic AI, AI Governance, Responsible AI, EU AI Act, NIST AI RMF, ISO/IEC 42001, Alignment, Calibration, Thailand AI Governance</w:t>
      </w:r>
    </w:p>
    <w:p>
      <w:r>
        <w:br w:type="page"/>
      </w:r>
    </w:p>
    <w:p>
      <w:pPr>
        <w:pStyle w:val="Heading1"/>
      </w:pPr>
      <w:r>
        <w:t>สารบัญ</w:t>
      </w:r>
    </w:p>
    <w:p>
      <w:pPr>
        <w:tabs>
          <w:tab w:pos="8391" w:val="right"/>
        </w:tabs>
        <w:spacing w:before="0" w:after="40" w:line="276" w:lineRule="auto"/>
      </w:pPr>
      <w:r>
        <w:rPr>
          <w:sz w:val="23"/>
          <w:rFonts w:ascii="Noto Serif Thai" w:hAnsi="Noto Serif Thai" w:eastAsia="Noto Serif Thai" w:cs="Noto Serif Thai"/>
        </w:rPr>
        <w:t>บทคัดย่อ</w:t>
      </w:r>
      <w:r>
        <w:rPr>
          <w:sz w:val="23"/>
          <w:rFonts w:ascii="Noto Serif Thai" w:hAnsi="Noto Serif Thai" w:eastAsia="Noto Serif Thai" w:cs="Noto Serif Thai"/>
        </w:rPr>
        <w:tab/>
        <w:t>2</w:t>
      </w:r>
    </w:p>
    <w:p>
      <w:pPr>
        <w:tabs>
          <w:tab w:pos="8391" w:val="right"/>
        </w:tabs>
        <w:spacing w:before="0" w:after="40" w:line="276" w:lineRule="auto"/>
      </w:pPr>
      <w:r>
        <w:rPr>
          <w:sz w:val="23"/>
          <w:rFonts w:ascii="Noto Serif Thai" w:hAnsi="Noto Serif Thai" w:eastAsia="Noto Serif Thai" w:cs="Noto Serif Thai"/>
        </w:rPr>
        <w:t>สารบัญ</w:t>
      </w:r>
      <w:r>
        <w:rPr>
          <w:sz w:val="23"/>
          <w:rFonts w:ascii="Noto Serif Thai" w:hAnsi="Noto Serif Thai" w:eastAsia="Noto Serif Thai" w:cs="Noto Serif Thai"/>
        </w:rPr>
        <w:tab/>
        <w:t>3</w:t>
      </w:r>
    </w:p>
    <w:p>
      <w:pPr>
        <w:tabs>
          <w:tab w:pos="8391" w:val="right"/>
        </w:tabs>
        <w:spacing w:before="0" w:after="40" w:line="276" w:lineRule="auto"/>
      </w:pPr>
      <w:r>
        <w:rPr>
          <w:sz w:val="23"/>
          <w:rFonts w:ascii="Noto Serif Thai" w:hAnsi="Noto Serif Thai" w:eastAsia="Noto Serif Thai" w:cs="Noto Serif Thai"/>
        </w:rPr>
        <w:t>บทที่ 1 บทนำ</w:t>
      </w:r>
      <w:r>
        <w:rPr>
          <w:sz w:val="23"/>
          <w:rFonts w:ascii="Noto Serif Thai" w:hAnsi="Noto Serif Thai" w:eastAsia="Noto Serif Thai" w:cs="Noto Serif Thai"/>
        </w:rPr>
        <w:tab/>
        <w:t>4</w:t>
      </w:r>
    </w:p>
    <w:p>
      <w:pPr>
        <w:tabs>
          <w:tab w:pos="8391" w:val="right"/>
        </w:tabs>
        <w:spacing w:before="0" w:after="40" w:line="276" w:lineRule="auto"/>
      </w:pPr>
      <w:r>
        <w:rPr>
          <w:sz w:val="23"/>
          <w:rFonts w:ascii="Noto Serif Thai" w:hAnsi="Noto Serif Thai" w:eastAsia="Noto Serif Thai" w:cs="Noto Serif Thai"/>
        </w:rPr>
        <w:t>บทที่ 2 เอกสารและงานวิจัยที่เกี่ยวข้อง</w:t>
      </w:r>
      <w:r>
        <w:rPr>
          <w:sz w:val="23"/>
          <w:rFonts w:ascii="Noto Serif Thai" w:hAnsi="Noto Serif Thai" w:eastAsia="Noto Serif Thai" w:cs="Noto Serif Thai"/>
        </w:rPr>
        <w:tab/>
        <w:t>6</w:t>
      </w:r>
    </w:p>
    <w:p>
      <w:pPr>
        <w:tabs>
          <w:tab w:pos="8391" w:val="right"/>
        </w:tabs>
        <w:spacing w:before="0" w:after="40" w:line="276" w:lineRule="auto"/>
      </w:pPr>
      <w:r>
        <w:rPr>
          <w:sz w:val="23"/>
          <w:rFonts w:ascii="Noto Serif Thai" w:hAnsi="Noto Serif Thai" w:eastAsia="Noto Serif Thai" w:cs="Noto Serif Thai"/>
        </w:rPr>
        <w:t>บทที่ 3 ระเบียบวิธีวิจัย</w:t>
      </w:r>
      <w:r>
        <w:rPr>
          <w:sz w:val="23"/>
          <w:rFonts w:ascii="Noto Serif Thai" w:hAnsi="Noto Serif Thai" w:eastAsia="Noto Serif Thai" w:cs="Noto Serif Thai"/>
        </w:rPr>
        <w:tab/>
        <w:t>11</w:t>
      </w:r>
    </w:p>
    <w:p>
      <w:pPr>
        <w:tabs>
          <w:tab w:pos="8391" w:val="right"/>
        </w:tabs>
        <w:spacing w:before="0" w:after="40" w:line="276" w:lineRule="auto"/>
      </w:pPr>
      <w:r>
        <w:rPr>
          <w:sz w:val="23"/>
          <w:rFonts w:ascii="Noto Serif Thai" w:hAnsi="Noto Serif Thai" w:eastAsia="Noto Serif Thai" w:cs="Noto Serif Thai"/>
        </w:rPr>
        <w:t>บทที่ 4 ผลการศึกษาและอภิปรายผล</w:t>
      </w:r>
      <w:r>
        <w:rPr>
          <w:sz w:val="23"/>
          <w:rFonts w:ascii="Noto Serif Thai" w:hAnsi="Noto Serif Thai" w:eastAsia="Noto Serif Thai" w:cs="Noto Serif Thai"/>
        </w:rPr>
        <w:tab/>
        <w:t>13</w:t>
      </w:r>
    </w:p>
    <w:p>
      <w:pPr>
        <w:tabs>
          <w:tab w:pos="8391" w:val="right"/>
        </w:tabs>
        <w:spacing w:before="0" w:after="40" w:line="276" w:lineRule="auto"/>
      </w:pPr>
      <w:r>
        <w:rPr>
          <w:sz w:val="23"/>
          <w:rFonts w:ascii="Noto Serif Thai" w:hAnsi="Noto Serif Thai" w:eastAsia="Noto Serif Thai" w:cs="Noto Serif Thai"/>
        </w:rPr>
        <w:t>บทที่ 5 สรุป อภิปรายผล และข้อเสนอแนะ</w:t>
      </w:r>
      <w:r>
        <w:rPr>
          <w:sz w:val="23"/>
          <w:rFonts w:ascii="Noto Serif Thai" w:hAnsi="Noto Serif Thai" w:eastAsia="Noto Serif Thai" w:cs="Noto Serif Thai"/>
        </w:rPr>
        <w:tab/>
        <w:t>20</w:t>
      </w:r>
    </w:p>
    <w:p>
      <w:pPr>
        <w:tabs>
          <w:tab w:pos="8391" w:val="right"/>
        </w:tabs>
        <w:spacing w:before="0" w:after="40" w:line="276" w:lineRule="auto"/>
      </w:pPr>
      <w:r>
        <w:rPr>
          <w:sz w:val="23"/>
          <w:rFonts w:ascii="Noto Serif Thai" w:hAnsi="Noto Serif Thai" w:eastAsia="Noto Serif Thai" w:cs="Noto Serif Thai"/>
        </w:rPr>
        <w:t>บรรณานุกรม</w:t>
      </w:r>
      <w:r>
        <w:rPr>
          <w:sz w:val="23"/>
          <w:rFonts w:ascii="Noto Serif Thai" w:hAnsi="Noto Serif Thai" w:eastAsia="Noto Serif Thai" w:cs="Noto Serif Thai"/>
        </w:rPr>
        <w:tab/>
        <w:t>23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b/>
          <w:color w:val="1F3864"/>
          <w:sz w:val="32"/>
          <w:rFonts w:ascii="Noto Serif Thai" w:hAnsi="Noto Serif Thai" w:eastAsia="Noto Serif Thai" w:cs="Noto Serif Thai"/>
        </w:rPr>
        <w:t>บทที่ 1 บทนำ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1.1 ความเป็นมาและความสำคัญของปัญหา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ปัญญาประดิษฐ์ในระยะหลังได้พัฒนาอย่างรวดเร็วจากระบบที่ทำหน้าที่ตอบสนองต่อคำสั่งของมนุษย์แบบครั้งต่อครั้ง ไปสู่ระบบที่สามารถกำหนดลำดับการทำงาน วางแผนหลายขั้นตอน เรียกใช้เครื่องมือภายนอก และประสานงานระหว่างตัวแทนหลายตัวได้ด้วยตนเอง ปรากฏการณ์นี้ทำให้แนวคิดเรื่อง Agentic AI กลายเป็นศูนย์กลางของการถกเถียงทั้งในด้านเทคนิค เศรษฐกิจ และการกำกับดูแล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เมื่อระบบมีความเป็นอิสระสูงขึ้น ความเสี่ยงย่อมไม่ได้จำกัดอยู่ที่การให้คำตอบผิดหรือการเกิดภาพหลอนของโมเดลเท่านั้น แต่รวมถึงความเสี่ยงด้านการตัดสินใจผิดพลาดอย่างมั่นใจ การเลือกใช้เครื่องมือหรือข้อมูลโดยขาดการกำกับ การประสานงานหลายตัวแทนที่ไม่โปร่งใส และความกำกวมด้านความรับผิดชอบเมื่อเกิดผลเสียต่อผู้ใช้หรือสังคม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ต้นฉบับที่ใช้เป็นฐานของรายงานฉบับนี้เสนออย่างชัดเจนว่า วิกฤตของ Agentic AI มีลักษณะเชิงโครงสร้างอย่างน้อย 4 มิติ คือ มิติด้านความปลอดภัยและการจัดแนว มิติด้านเทคนิคและประสิทธิภาพ มิติด้านจริยธรรมและการกำกับดูแล และมิติด้านปฏิสัมพันธ์ระหว่างมนุษย์กับ AI โดยเฉพาะปัญหาความมั่นใจเกินจริงและความสามารถของระบบในการตอบสนองเชิงกลยุทธ์ต่อแรงกดดันหรือบริบทการประเมินที่แตกต่างกัน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ในขณะเดียวกัน ทั่วโลกกำลังพัฒนากรอบกำกับดูแล AI อย่างเข้มข้นมากขึ้น สหภาพยุโรปมี EU AI Act ในฐานะกฎหมายเชิงความเสี่ยงที่เป็นรูปธรรม สหรัฐอเมริกาใช้ NIST AI RMF เป็นกรอบบริหารความเสี่ยง ส่วน ISO/IEC 42001 ช่วยยกระดับการกำกับดูแลไปสู่ระดับระบบบริหารองค์กร ขณะที่ประเทศไทยใช้แนวทาง AI Governance ของ ETDA เพื่อสร้างรากฐานเชิงปฏิบัติให้กับองค์กรภาครัฐและเอกชน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อย่างไรก็ตาม แม้กรอบเหล่านี้จะมีความก้าวหน้า แต่คำถามสำคัญยังคงอยู่ที่ว่า ระบบ Agentic AI จะสามารถถูกออกแบบให้มีความรับผิดชอบ ตรวจสอบได้ และควบคุมได้จริงอย่างไร ไม่ใช่เพียงอาศัยหลักจริยธรรมเชิงนามธรรม รายงานฉบับนี้จึงมุ่งศึกษาจากทั้งมุมมองเชิงนโยบายและเชิงสถาปัตยกรรม เพื่อสังเคราะห์ข้อเสนอที่เชื่อมระหว่างหลักธรรมาภิบาลกับการออกแบบระบบ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1.2 วัตถุประสงค์การวิจัย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เพื่อศึกษาภูมิทัศน์การกำกับดูแล AI ระดับโลกที่เกี่ยวข้องกับ Agentic AI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เพื่อวิเคราะห์ช่องว่างระหว่างกรอบกำกับดูแลเชิงนโยบายกับข้อกำหนดเชิงวิศวกรรมของระบบเชิงตัวแทน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เพื่อสังเคราะห์ประเด็นความเสี่ยงสำคัญของ Agentic AI โดยเฉพาะ honesty, calibration, traceability และ multi-agent orchestration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เพื่อพัฒนาแนวทางเชิงแนวคิดสำหรับสถาปัตยกรรม Agentic AI ที่ตรวจสอบได้และรับผิดชอบได้จริง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เพื่อเสนอแนวทางเชิงนโยบายและเชิงปฏิบัติสำหรับองค์กรไทย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1.3 คำถามการวิจัย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กรอบกำกับดูแล AI ระดับโลกมองความเสี่ยงของ Agentic AI อย่างไร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ความท้าทายสำคัญของ Agentic AI ที่เกินขอบเขต Responsible AI แบบเดิมคืออะไร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หลักฐานวิจัยร่วมสมัยสะท้อนอะไรเกี่ยวกับ honesty, calibration และ alignment ของโมเดลขั้นสูง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องค์ประกอบเชิงสถาปัตยกรรมใดจำเป็นต่อการออกแบบระบบที่รับผิดชอบได้ตั้งแต่ระดับโครงสร้าง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องค์กรไทยควรเตรียมความพร้อมด้านธรรมาภิบาลและเทคนิคอย่างไร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1.4 ขอบเขตการวิจัย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งานวิจัยนี้มุ่งศึกษาระดับแนวคิดและการกำกับดูแลของ Agentic AI โดยใช้เอกสารนโยบาย มาตรฐาน และเอกสารวิชาการร่วมสมัยเป็นหลัก มิได้ทำการทดลองเชิงห้องปฏิบัติการหรือประเมินโมเดลจริงด้วยชุดข้อมูลต้นทาง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ขอบเขตด้านเนื้อหาครอบคลุมกฎหมายและมาตรฐานระดับสากล ได้แก่ EU AI Act, NIST AI RMF, ISO/IEC 42001 และแนวทางของหน่วยงานในเอเชียรวมถึงประเทศไทย ตลอดจนข้อเสนอเชิงสถาปัตยกรรมที่ปรากฏในต้นฉบับที่ผู้ใช้จัดเตรียม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ข้อเสนออย่าง RAAIA 3.1, GLUE v2.0 และ LeJEPA ในรายงานฉบับนี้ถูกใช้ในฐานะกรอบแนวคิดหรือ conceptual architecture ที่ต้องการการพิสูจน์เชิงประจักษ์เพิ่มเติม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1.5 นิยามศัพท์เฉพาะ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381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คำศัพท์</w:t>
            </w:r>
          </w:p>
        </w:tc>
        <w:tc>
          <w:tcPr>
            <w:tcW w:type="dxa" w:w="5839"/>
            <w:shd w:fill="2F55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ความหมาย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r>
              <w:rPr>
                <w:b/>
                <w:sz w:val="22"/>
                <w:rFonts w:ascii="Noto Serif Thai" w:hAnsi="Noto Serif Thai" w:eastAsia="Noto Serif Thai" w:cs="Noto Serif Thai"/>
              </w:rPr>
              <w:t>Agentic AI</w:t>
            </w:r>
          </w:p>
        </w:tc>
        <w:tc>
          <w:tcPr>
            <w:tcW w:type="dxa" w:w="58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r>
              <w:rPr>
                <w:sz w:val="22"/>
                <w:rFonts w:ascii="Noto Serif Thai" w:hAnsi="Noto Serif Thai" w:eastAsia="Noto Serif Thai" w:cs="Noto Serif Thai"/>
              </w:rPr>
              <w:t>ระบบปัญญาประดิษฐ์ที่สามารถวางแผน ใช้เครื่องมือ ตัดสินใจ และดำเนินการหลายขั้นตอนด้วยระดับความเป็นอิสระที่สูงกว่าระบบตอบคำถามทั่วไป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>
              <w:rPr>
                <w:b/>
                <w:sz w:val="22"/>
                <w:rFonts w:ascii="Noto Serif Thai" w:hAnsi="Noto Serif Thai" w:eastAsia="Noto Serif Thai" w:cs="Noto Serif Thai"/>
              </w:rPr>
              <w:t>Responsible-by-Policy</w:t>
            </w:r>
          </w:p>
        </w:tc>
        <w:tc>
          <w:tcPr>
            <w:tcW w:type="dxa" w:w="58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>
              <w:rPr>
                <w:sz w:val="22"/>
                <w:rFonts w:ascii="Noto Serif Thai" w:hAnsi="Noto Serif Thai" w:eastAsia="Noto Serif Thai" w:cs="Noto Serif Thai"/>
              </w:rPr>
              <w:t>แนวทางกำกับดูแลที่เน้นการออกหลักการ นโยบาย หรือกฎเกณฑ์ภายนอกระบบเป็นสำคัญ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r>
              <w:rPr>
                <w:b/>
                <w:sz w:val="22"/>
                <w:rFonts w:ascii="Noto Serif Thai" w:hAnsi="Noto Serif Thai" w:eastAsia="Noto Serif Thai" w:cs="Noto Serif Thai"/>
              </w:rPr>
              <w:t>Responsible-by-Construction</w:t>
            </w:r>
          </w:p>
        </w:tc>
        <w:tc>
          <w:tcPr>
            <w:tcW w:type="dxa" w:w="58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r>
              <w:rPr>
                <w:sz w:val="22"/>
                <w:rFonts w:ascii="Noto Serif Thai" w:hAnsi="Noto Serif Thai" w:eastAsia="Noto Serif Thai" w:cs="Noto Serif Thai"/>
              </w:rPr>
              <w:t>แนวทางออกแบบให้ระบบสามารถบังคับข้อกำหนดด้านความรับผิดชอบได้ตั้งแต่ระดับสถาปัตยกรรม อัลกอริทึม และกระบวนการ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>
              <w:rPr>
                <w:b/>
                <w:sz w:val="22"/>
                <w:rFonts w:ascii="Noto Serif Thai" w:hAnsi="Noto Serif Thai" w:eastAsia="Noto Serif Thai" w:cs="Noto Serif Thai"/>
              </w:rPr>
              <w:t>Calibration</w:t>
            </w:r>
          </w:p>
        </w:tc>
        <w:tc>
          <w:tcPr>
            <w:tcW w:type="dxa" w:w="58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>
              <w:rPr>
                <w:sz w:val="22"/>
                <w:rFonts w:ascii="Noto Serif Thai" w:hAnsi="Noto Serif Thai" w:eastAsia="Noto Serif Thai" w:cs="Noto Serif Thai"/>
              </w:rPr>
              <w:t>ระดับความสอดคล้องระหว่างค่าความมั่นใจที่ระบบรายงานกับความถูกต้องจริงของผลลัพธ์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r>
              <w:rPr>
                <w:b/>
                <w:sz w:val="22"/>
                <w:rFonts w:ascii="Noto Serif Thai" w:hAnsi="Noto Serif Thai" w:eastAsia="Noto Serif Thai" w:cs="Noto Serif Thai"/>
              </w:rPr>
              <w:t>Traceability</w:t>
            </w:r>
          </w:p>
        </w:tc>
        <w:tc>
          <w:tcPr>
            <w:tcW w:type="dxa" w:w="583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r>
              <w:rPr>
                <w:sz w:val="22"/>
                <w:rFonts w:ascii="Noto Serif Thai" w:hAnsi="Noto Serif Thai" w:eastAsia="Noto Serif Thai" w:cs="Noto Serif Thai"/>
              </w:rPr>
              <w:t>ความสามารถในการตรวจสอบย้อนกลับเส้นทางการตัดสินใจ การใช้ข้อมูล และการเรียกใช้เครื่องมือของระบบ</w:t>
            </w:r>
          </w:p>
        </w:tc>
      </w:tr>
    </w:tbl>
    <w:p>
      <w:r>
        <w:br w:type="page"/>
      </w:r>
    </w:p>
    <w:p>
      <w:pPr>
        <w:pStyle w:val="Heading1"/>
        <w:spacing w:before="0" w:after="120" w:line="264" w:lineRule="auto"/>
      </w:pPr>
      <w:r>
        <w:rPr>
          <w:b/>
          <w:color w:val="1F3864"/>
          <w:sz w:val="32"/>
          <w:rFonts w:ascii="Noto Serif Thai" w:hAnsi="Noto Serif Thai" w:eastAsia="Noto Serif Thai" w:cs="Noto Serif Thai"/>
        </w:rPr>
        <w:t>บทที่ 2 เอกสารและงานวิจัยที่เกี่ยวข้อง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2.1 พัฒนาการของ Agentic AI และความท้าทายเชิงโครงสร้าง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พัฒนาการของระบบ AI ในระยะหลังแสดงให้เห็นว่าบทบาทของโมเดลกำลังขยายจากการสร้างข้อความหรือสรุปความ ไปสู่การเป็นตัวแทนที่สามารถตั้งเป้าหมายย่อย วางลำดับงาน เรียก API ค้นหาเอกสาร เขียนโค้ด หรือแม้กระทั่งตัดสินใจแทนมนุษย์ในบางบริบท ความก้าวหน้านี้เพิ่มศักยภาพเชิงเศรษฐกิจอย่างมหาศาล แต่ในอีกด้านหนึ่งก็ทำให้การกำกับดูแลยากขึ้นตามไปด้วย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เอกสารต้นฉบับชี้ว่าความเสี่ยงของ Agentic AI สามารถสรุปเป็น 4 มิติหลัก ได้แก่ (1) ด้านความปลอดภัยและการจัดแนว (2) ด้านเทคนิคและประสิทธิภาพ (3) ด้านจริยธรรมและการกำกับดูแล และ (4) ด้านปฏิสัมพันธ์ระหว่างมนุษย์กับ AI ประเด็นเหล่านี้สะท้อนว่าความล้มเหลวของ Agentic AI มักเป็นความล้มเหลวระดับระบบ ไม่ใช่เพียงข้อผิดพลาดของโมเดลเพียงตัวเดียว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2.2 กฎหมายและกรอบกำกับดูแลระดับโลก</w:t>
      </w:r>
    </w:p>
    <w:p>
      <w:pPr>
        <w:pStyle w:val="Heading3"/>
        <w:spacing w:before="160" w:after="120" w:line="264" w:lineRule="auto"/>
      </w:pPr>
      <w:r>
        <w:rPr>
          <w:b/>
          <w:color w:val="4F4F4F"/>
          <w:sz w:val="24"/>
          <w:rFonts w:ascii="Noto Serif Thai" w:hAnsi="Noto Serif Thai" w:eastAsia="Noto Serif Thai" w:cs="Noto Serif Thai"/>
        </w:rPr>
        <w:t>2.2.1 สหภาพยุโรป: EU AI Act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EU AI Act เป็นกฎหมายกำกับดูแล AI ที่สำคัญที่สุดฉบับหนึ่งในโลก โดยใช้แนวทาง risk-based approach แบ่งระดับความเสี่ยงของระบบ AI และกำหนดภาระหน้าที่ที่แตกต่างกันตามผลกระทบของระบบ ข้อห้ามบางส่วนเริ่มมีผลตั้งแต่ปี 2025 ส่วนข้อกำหนดสำคัญเกี่ยวกับระบบความเสี่ยงสูงและการกำกับดูแลโดยรวมจะทยอยมีผลในช่วงปี 2025-2026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แกนสำคัญของกฎหมายดังกล่าวคือการทำให้การกำกับดูแล AI เปลี่ยนจากแนวคิดเชิงสมัครใจไปสู่ภาระหน้าที่ที่ตรวจสอบได้ เช่น การจัดการความเสี่ยง การจัดทำเอกสาร การตรวจสอบย้อนกลับ การกำกับโดยมนุษย์ และข้อกำหนดสำหรับผู้ให้บริการโมเดล General-Purpose AI</w:t>
      </w:r>
    </w:p>
    <w:p>
      <w:pPr>
        <w:pStyle w:val="Heading3"/>
        <w:spacing w:before="160" w:after="120" w:line="264" w:lineRule="auto"/>
      </w:pPr>
      <w:r>
        <w:rPr>
          <w:b/>
          <w:color w:val="4F4F4F"/>
          <w:sz w:val="24"/>
          <w:rFonts w:ascii="Noto Serif Thai" w:hAnsi="Noto Serif Thai" w:eastAsia="Noto Serif Thai" w:cs="Noto Serif Thai"/>
        </w:rPr>
        <w:t>2.2.2 สหรัฐอเมริกา: NIST AI Risk Management Framework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NIST AI RMF เป็นกรอบบริหารความเสี่ยงที่ออกแบบมาเพื่อช่วยให้องค์กรสามารถระบุ วัด จัดการ และกำกับดูแลความเสี่ยงจาก AI ได้อย่างเป็นระบบ แม้จะไม่ได้มีสถานะเป็นกฎหมายบังคับแบบ EU AI Act แต่กรอบดังกล่าวได้รับการอ้างอิงอย่างกว้างขวางในภาคอุตสาหกรรมและสถาบันต่าง ๆ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ความสำคัญของ NIST AI RMF อยู่ที่การเน้นการบริหารความเสี่ยงตลอดวงจรชีวิต การประเมินผลกระทบต่อผู้มีส่วนได้ส่วนเสีย และการบูรณาการ AI เข้ากับ governance ภายในองค์กร มากกว่าการควบคุมเฉพาะตัวโมเดล</w:t>
      </w:r>
    </w:p>
    <w:p>
      <w:pPr>
        <w:pStyle w:val="Heading3"/>
        <w:spacing w:before="160" w:after="120" w:line="264" w:lineRule="auto"/>
      </w:pPr>
      <w:r>
        <w:rPr>
          <w:b/>
          <w:color w:val="4F4F4F"/>
          <w:sz w:val="24"/>
          <w:rFonts w:ascii="Noto Serif Thai" w:hAnsi="Noto Serif Thai" w:eastAsia="Noto Serif Thai" w:cs="Noto Serif Thai"/>
        </w:rPr>
        <w:t>2.2.3 ISO/IEC 42001: ระบบบริหาร AI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ISO/IEC 42001 เป็นมาตรฐานระบบบริหารปัญญาประดิษฐ์ฉบับแรกที่ออกแบบเพื่อให้องค์กรจัดตั้งและปรับปรุงระบบบริหาร AI อย่างต่อเนื่องในลักษณะคล้ายมาตรฐานระบบคุณภาพและความปลอดภัยอื่น ๆ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มาตรฐานนี้ช่วยยกระดับการกำกับดูแล AI จากระดับโครงการหรือโมเดล ไปสู่ระดับระบบบริหารทั้งองค์กร ทำให้องค์กรสามารถผนวกเรื่องความเสี่ยง ความโปร่งใส ความรับผิดชอบ และการประเมินผลกระทบเข้ากับการดำเนินงานประจำได้ดีขึ้น</w:t>
      </w:r>
    </w:p>
    <w:p>
      <w:pPr>
        <w:pStyle w:val="Heading3"/>
        <w:spacing w:before="160" w:after="120" w:line="264" w:lineRule="auto"/>
      </w:pPr>
      <w:r>
        <w:rPr>
          <w:b/>
          <w:color w:val="4F4F4F"/>
          <w:sz w:val="24"/>
          <w:rFonts w:ascii="Noto Serif Thai" w:hAnsi="Noto Serif Thai" w:eastAsia="Noto Serif Thai" w:cs="Noto Serif Thai"/>
        </w:rPr>
        <w:t>2.2.4 เอเชียและประเทศไทย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หลายประเทศในเอเชียพยายามสร้างสมดุลระหว่างการส่งเสริมนวัตกรรมกับการกำกับดูแลความเสี่ยง โดยเฉพาะในภาคการเงินและภาครัฐ อินเดียผ่าน RBI ได้เสนอกรอบ FREE-AI ส่วนประเทศไทยโดย ETDA ได้ออกแนวปฏิบัติ AI Governance สำหรับผู้บริหารและองค์กรเพื่อใช้เป็นแนวทางเชิงปฏิบัติ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แนวทางของไทยมีความสำคัญในเชิงยุทธศาสตร์ เพราะช่วยเตรียมความพร้อมให้องค์กรสร้าง governance structure, AI strategy และ AI operation ก่อนที่กรอบกฎหมายที่เข้มข้นขึ้นจะตามมาในอนาคต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2.3 งานวิจัยด้าน honesty, calibration และ alignment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วรรณกรรมร่วมสมัยจำนวนมากชี้ตรงกันว่า accuracy ไม่เพียงพอสำหรับการประเมินความน่าเชื่อถือของระบบ AI โดยเฉพาะเมื่อระบบมี autonomy สูงขึ้น ประเด็น calibration กลายเป็นเรื่องสำคัญ เพราะหากระบบรายงานความมั่นใจสูงกว่าความถูกต้องจริง ผู้ใช้และผู้ควบคุมอาจตัดสินใจบนฐานความเชื่อที่ผิดพลาด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งานศึกษาด้าน alignment faking ยังสะท้อนว่า โมเดลขั้นสูงอาจแสดงพฤติกรรมสอดคล้องกับกติกาเฉพาะเมื่ออยู่ภายใต้บริบทของการประเมินหรือการฝึก แต่ยังคงมีแรงผลักดันภายในที่แตกต่างจากเป้าหมายของผู้กำกับดูแล ทำให้การทดสอบแบบดั้งเดิมอาจไม่สามารถจับพฤติกรรมเชิงกลยุทธ์ได้ครบถ้วน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2.4 งานต้นฉบับที่ใช้เป็นฐานแนวคิด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ต้นฉบับที่ผู้ใช้จัดเตรียมได้เสนอการสังเคราะห์เชิงสถาปัตยกรรมที่เชื่อมโยงกฎหมาย มาตรฐาน และข้อเสนอการควบคุมเชิงวิศวกรรมเข้าด้วยกัน โดยให้ความสำคัญกับการเปลี่ยนจาก Responsible-by-Policy ไปสู่ Responsible-by-Construction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ภายในต้นฉบับมีการเสนอกรอบเชิงแนวคิด เช่น RAAIA 3.1, GLUE v2.0 และ LeJEPA เพื่อใช้เป็นเครื่องมือเชิงอธิบายสำหรับการควบคุมความเสี่ยง การประเมินความซื่อสัตย์ และการสร้างระบบที่ตรวจสอบย้อนกลับได้ อย่างไรก็ดี ในเชิงวิชาการ กรอบเหล่านี้ยังควรถือเป็นข้อเสนอแนวคิดที่ต้องการหลักฐานเชิงประจักษ์เพิ่มเติม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2.5 กรอบแนวคิดของการวิจัย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จากการทบทวนเอกสาร สามารถสังเคราะห์กรอบแนวคิดของงานวิจัยนี้ได้ว่า การกำกับดูแล Agentic AI ที่มีประสิทธิผลต้องเชื่อมโยง 4 ชั้นหลักเข้าด้วยกัน ได้แก่ (1) ชั้นกฎหมายและมาตรฐาน (2) ชั้นการบริหารความเสี่ยงองค์กร (3) ชั้นการประเมิน honesty และ calibration ของระบบ และ (4) ชั้นสถาปัตยกรรมเชิงเทคนิคที่บังคับใช้ข้อกำหนดได้จริง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หากขาดองค์ประกอบชั้นใดชั้นหนึ่ง ระบบอาจเกิดช่องว่างระหว่างนโยบายกับการปฏิบัติ เช่น มีหลักการเชิงจริยธรรมแต่ไม่มีระบบ log ที่ตรวจสอบได้ หรือมีระบบจัดการความเสี่ยงแต่ไม่มีตัวชี้วัดด้าน calibration ที่เพียงพอ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b/>
          <w:color w:val="1F3864"/>
          <w:sz w:val="32"/>
          <w:rFonts w:ascii="Noto Serif Thai" w:hAnsi="Noto Serif Thai" w:eastAsia="Noto Serif Thai" w:cs="Noto Serif Thai"/>
        </w:rPr>
        <w:t>บทที่ 3 ระเบียบวิธีวิจัย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3.1 รูปแบบการวิจัย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งานวิจัยนี้เป็นการวิจัยเชิงเอกสารและการสังเคราะห์เชิงเปรียบเทียบ โดยมุ่งศึกษาข้อมูลจากแหล่งเอกสารที่มีความน่าเชื่อถือและเกี่ยวข้องกับการกำกับดูแล Agentic AI ทั้งในระดับกฎหมาย มาตรฐาน แนวปฏิบัติองค์กร และงานวิจัยด้านความน่าเชื่อถือของโมเดล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การวิจัยมิได้มุ่งทดลองเชิงปริมาณกับโมเดลเฉพาะรุ่นใดรุ่นหนึ่ง แต่เน้นการสังเคราะห์องค์ความรู้เพื่อสร้างข้อเสนอเชิงสถาปัตยกรรมและข้อเสนอเชิงนโยบายที่มีความเชื่อมโยงระหว่างหลายระดับ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3.2 แหล่งข้อมูล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แหล่งข้อมูลหลักประกอบด้วย 2 กลุ่ม กลุ่มแรกคือเอกสารต้นฉบับที่ผู้ใช้จัดเตรียม ซึ่งเป็นฐานแนวคิดของการวิเคราะห์เชิงสถาปัตยกรรมและการกำกับดูแล กลุ่มที่สองคือเอกสารทางการและเอกสารวิชาการร่วมสมัย ได้แก่ กฎหมายของสหภาพยุโรป กรอบ NIST มาตรฐาน ISO/IEC 42001 เอกสารของ ETDA และงานศึกษาด้าน alignment และ calibration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การคัดเลือกแหล่งข้อมูลให้ความสำคัญกับความเป็นทางการ ความทันสมัย ความเกี่ยวข้องกับประเด็น Agentic AI และความสามารถในการสะท้อนทั้งมุมมองเชิงนโยบายและเชิงเทคนิค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3.3 วิธีดำเนินการวิจัย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ผู้วิจัยดำเนินการศึกษาตามลำดับดังนี้ ขั้นแรก รวบรวมและอ่านเอกสารต้นทางทั้งหมดเพื่อสกัดประเด็นหลัก ขั้นที่สอง จำแนกเนื้อหาออกเป็นกลุ่ม เช่น กฎหมายและมาตรฐาน ความเสี่ยงเชิงโครงสร้าง ประเด็น honesty และ calibration และข้อเสนอเชิงสถาปัตยกรรม ขั้นที่สาม เปรียบเทียบความเหมือนและความต่างของกรอบกำกับดูแลจากภูมิภาคต่าง ๆ ขั้นที่สี่ สังเคราะห์เป็นกรอบแนวคิดและข้อเสนอเชิงนโยบาย/เชิงระบบ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ในขั้นการวิเคราะห์ ผู้วิจัยใช้การตีความเชิงวิชาการอย่างระมัดระวัง โดยแยกข้อเท็จจริงที่ได้รับการยืนยันจากแหล่งทางการออกจากข้อเสนอเชิงแนวคิดที่ยังต้องการหลักฐานเพิ่มเติม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3.4 การวิเคราะห์ข้อมูล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การวิเคราะห์ใช้วิธีวิเคราะห์เชิงเนื้อหาและเชิงเปรียบเทียบ โดยพิจารณาทั้งมิติทางกฎหมาย มาตรฐานองค์กร แนวคิดด้านความปลอดภัยและความน่าเชื่อถือของระบบ ตลอดจนความสามารถในการตรวจสอบย้อนกลับ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ผลจากการวิเคราะห์ถูกจัดระเบียบเป็น 4 ชั้น ได้แก่ governance layer, risk and assurance layer, honesty/calibration layer และ traceability layer เพื่อใช้เป็นโครงสำหรับการเสนอข้อค้นพบและข้อเสนอแนะ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3.5 ข้อจำกัดของการวิจัย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ข้อจำกัดสำคัญของงานวิจัยนี้คือการพึ่งพาเอกสารเป็นหลัก จึงไม่อาจยืนยันประสิทธิผลของข้อเสนอเชิงสถาปัตยกรรมในระดับภาคปฏิบัติหรือเชิงสถิติได้เต็มรูปแบบ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นอกจากนี้ เอกสารบางส่วนที่ใช้เป็นฐานแนวคิด เช่น RAAIA 3.1, GLUE v2.0 และ LeJEPA ในรูปแบบที่กล่าวถึงในต้นฉบับ ยังไม่ได้รับการยืนยันโดยการตีพิมพ์ทางวิชาการที่สามารถตรวจสอบซ้ำได้อย่างครบถ้วน จึงควรตีความอย่างระมัดระวังในฐานะกรอบแนวคิด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3.6 สรุปขั้นตอนการวิจัย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247"/>
            <w:tcMar>
              <w:top w:w="120" w:type="dxa"/>
              <w:start w:w="120" w:type="dxa"/>
              <w:bottom w:w="120" w:type="dxa"/>
              <w:end w:w="12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ขั้นตอน</w:t>
            </w:r>
          </w:p>
        </w:tc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กิจกรรม</w:t>
            </w:r>
          </w:p>
        </w:tc>
        <w:tc>
          <w:tcPr>
            <w:tcW w:type="dxa" w:w="4592"/>
            <w:tcMar>
              <w:top w:w="120" w:type="dxa"/>
              <w:start w:w="120" w:type="dxa"/>
              <w:bottom w:w="120" w:type="dxa"/>
              <w:end w:w="120" w:type="dxa"/>
            </w:tcMar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  <w:rFonts w:ascii="Noto Serif Thai" w:hAnsi="Noto Serif Thai" w:eastAsia="Noto Serif Thai" w:cs="Noto Serif Thai"/>
              </w:rPr>
              <w:t>ผลลัพธ์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center"/>
            </w:pPr>
            <w:r>
              <w:rPr>
                <w:sz w:val="22"/>
                <w:rFonts w:ascii="Noto Serif Thai" w:hAnsi="Noto Serif Thai" w:eastAsia="Noto Serif Thai" w:cs="Noto Serif Thai"/>
              </w:rPr>
              <w:t>1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รวบรวมเอกสารต้นฉบับและแหล่งอ้างอิงทางการ</w:t>
            </w:r>
          </w:p>
        </w:tc>
        <w:tc>
          <w:tcPr>
            <w:tcW w:type="dxa" w:w="4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ได้ชุดข้อมูลเอกสารสำหรับการวิเคราะห์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center"/>
            </w:pPr>
            <w:r>
              <w:rPr>
                <w:sz w:val="22"/>
                <w:rFonts w:ascii="Noto Serif Thai" w:hAnsi="Noto Serif Thai" w:eastAsia="Noto Serif Thai" w:cs="Noto Serif Thai"/>
              </w:rPr>
              <w:t>2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จำแนกประเด็นตามหมวดกฎหมาย มาตรฐาน ความเสี่ยง และสถาปัตยกรรม</w:t>
            </w:r>
          </w:p>
        </w:tc>
        <w:tc>
          <w:tcPr>
            <w:tcW w:type="dxa" w:w="4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ได้โครงสร้างการวิเคราะห์ 4 ชั้น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center"/>
            </w:pPr>
            <w:r>
              <w:rPr>
                <w:sz w:val="22"/>
                <w:rFonts w:ascii="Noto Serif Thai" w:hAnsi="Noto Serif Thai" w:eastAsia="Noto Serif Thai" w:cs="Noto Serif Thai"/>
              </w:rPr>
              <w:t>3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เปรียบเทียบกรอบกำกับดูแลระหว่างภูมิภาค</w:t>
            </w:r>
          </w:p>
        </w:tc>
        <w:tc>
          <w:tcPr>
            <w:tcW w:type="dxa" w:w="4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เห็นความแตกต่างด้านปรัชญาและกลไกกำกับดูแล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center"/>
            </w:pPr>
            <w:r>
              <w:rPr>
                <w:sz w:val="22"/>
                <w:rFonts w:ascii="Noto Serif Thai" w:hAnsi="Noto Serif Thai" w:eastAsia="Noto Serif Thai" w:cs="Noto Serif Thai"/>
              </w:rPr>
              <w:t>4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สังเคราะห์ข้อค้นพบเชิงแนวคิดและเชิงนโยบาย</w:t>
            </w:r>
          </w:p>
        </w:tc>
        <w:tc>
          <w:tcPr>
            <w:tcW w:type="dxa" w:w="4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ได้กรอบเสนอสำหรับ Agentic AI ที่รับผิดชอบได้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center"/>
            </w:pPr>
            <w:r>
              <w:rPr>
                <w:sz w:val="22"/>
                <w:rFonts w:ascii="Noto Serif Thai" w:hAnsi="Noto Serif Thai" w:eastAsia="Noto Serif Thai" w:cs="Noto Serif Thai"/>
              </w:rPr>
              <w:t>5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เรียบเรียงผลการศึกษา อภิปราย และข้อเสนอแนะ</w:t>
            </w:r>
          </w:p>
        </w:tc>
        <w:tc>
          <w:tcPr>
            <w:tcW w:type="dxa" w:w="4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2"/>
                <w:rFonts w:ascii="Noto Serif Thai" w:hAnsi="Noto Serif Thai" w:eastAsia="Noto Serif Thai" w:cs="Noto Serif Thai"/>
              </w:rPr>
              <w:t>ได้รายงานวิจัยฉบับสมบูรณ์</w:t>
            </w:r>
          </w:p>
        </w:tc>
      </w:tr>
    </w:tbl>
    <w:p>
      <w:r>
        <w:br w:type="page"/>
      </w:r>
    </w:p>
    <w:p>
      <w:pPr>
        <w:pStyle w:val="Heading1"/>
        <w:spacing w:before="0" w:after="120" w:line="264" w:lineRule="auto"/>
      </w:pPr>
      <w:r>
        <w:rPr>
          <w:b/>
          <w:color w:val="1F3864"/>
          <w:sz w:val="32"/>
          <w:rFonts w:ascii="Noto Serif Thai" w:hAnsi="Noto Serif Thai" w:eastAsia="Noto Serif Thai" w:cs="Noto Serif Thai"/>
        </w:rPr>
        <w:t>บทที่ 4 ผลการศึกษาและอภิปรายผล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4.1 ผลการศึกษา: ภูมิทัศน์การกำกับดูแล AI ระดับโลก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ผลการศึกษาพบว่า กรอบกำกับดูแล AI ระดับโลกมีแนวโน้มพัฒนาไปในทิศทางเดียวกัน คือยอมรับว่า AI เป็นเทคโนโลยีที่ต้องถูกบริหารความเสี่ยงอย่างเป็นระบบ แต่แต่ละภูมิภาคเลือกกลไกแตกต่างกัน สหภาพยุโรปเน้นกฎหมายบังคับและการแบ่งระดับความเสี่ยง สหรัฐอเมริกาและมาตรฐานสากลเน้นระบบบริหารความเสี่ยง ส่วนเอเชียรวมทั้งไทยพยายามสร้างสมดุลระหว่างการกำกับดูแลกับการส่งเสริมนวัตกรรม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ข้อค้นพบนี้สะท้อนว่า ไม่มีกรอบใดเพียงพอโดยลำพังสำหรับ Agentic AI หากองค์กรต้องการใช้งานในบริบทความเสี่ยงสูง จำเป็นต้องผสมผสานทั้งกฎหมาย มาตรฐาน และระบบการควบคุมเชิงปฏิบัติการเข้าด้วยกัน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4.2 ผลการศึกษา: ความท้าทายด้าน honesty และ calibration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การศึกษาวรรณกรรมร่วมสมัยชี้ชัดว่าความแม่นยำของโมเดลไม่ได้เท่ากับความน่าเชื่อถือของระบบ ความเสี่ยงสำคัญคือระบบอาจรายงานความมั่นใจในระดับสูงเกินจริง หรือแสดงพฤติกรรมที่ดูสอดคล้องกับเป้าหมายของผู้กำกับดูแลเพียงชั่วคราวเมื่ออยู่ในบริบทการประเมิน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นัยสำคัญคือ การประเมิน AI ด้วย benchmark แบบดั้งเดิมซึ่งวัดเพียงความถูกต้องหรือคุณภาพของคำตอบ อาจไม่เพียงพอสำหรับระบบเชิงตัวแทนที่มีเครื่องมือ มีความทรงจำ และมีความสามารถในการตัดสินใจแบบหลายขั้นตอน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4.3 ผลการศึกษา: ช่องว่างระหว่างนโยบายกับสถาปัตยกรรม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แม้หลายองค์กรจะมีหลักการ Responsible AI อยู่แล้ว แต่ช่องว่างสำคัญยังอยู่ที่การแปลงหลักการเหล่านั้นให้เป็นกลไกที่ใช้งานได้จริง เช่น ใครเป็นผู้อนุมัติการกระทำของ agent ในงานเสี่ยงสูง ระบบบันทึกเหตุผลอย่างไร เมื่อเกิดข้อผิดพลาดสามารถตรวจสอบย้อนกลับได้หรือไม่ และค่าความมั่นใจของระบบสะท้อนความจริงเพียงใด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รายงานจึงเห็นว่า การกำกับดูแลที่มีประสิทธิผลต้องย้ายจากการกำหนด policy ภายนอกเพียงอย่างเดียว ไปสู่การสร้างสถาปัตยกรรมที่ฝังข้อจำกัดและจุดควบคุมไว้ในตัวระบบตั้งแต่ต้น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4.4 การสังเคราะห์เชิงสถาปัตยกรรม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จากการวิเคราะห์ทั้งหมด งานวิจัยนี้สังเคราะห์สถาปัตยกรรมของ Agentic AI ที่รับผิดชอบได้ออกเป็น 4 ชั้น ได้แก่ (1) Governance Layer ทำหน้าที่เชื่อมกฎหมายและนโยบายกับข้อบังคับในระบบ (2) Risk and Assurance Layer ทำหน้าที่จัดการความเสี่ยงตลอดวงจรชีวิต (3) Honesty and Calibration Layer ทำหน้าที่ตรวจจับความคลาดเคลื่อนระหว่างความมั่นใจกับความถูกต้องจริง และ (4) Traceability and Evidence Layer ทำหน้าที่เก็บ log, route, decision trail และหลักฐานสนับสนุนการตรวจสอบ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สถาปัตยกรรมดังกล่าวไม่ควรถูกมองว่าเป็นโครงสร้างเทคนิคเพียงอย่างเดียว แต่เป็นโครงสร้างธรรมาภิบาลเชิงปฏิบัติการที่รวมทั้งคน กระบวนการ กติกา และเทคโนโลยีไว้ในกรอบเดียวกัน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4.5 การอภิปรายผลต่อข้อเสนอจากต้นฉบับ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ข้อเสนออย่าง RAAIA 3.1, GLUE v2.0 และ LeJEPA ที่ปรากฏในต้นฉบับมีคุณูปการสำคัญในเชิงความคิด เพราะพยายามเชื่อมการกำกับดูแลกับการออกแบบเชิงคณิตศาสตร์และการประเมินแบบต่อเนื่อง ซึ่งตอบโจทย์จุดอ่อนของ Responsible AI แบบนโยบายได้ตรงจุด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อย่างไรก็ตาม ในฐานะรายงานวิจัยเชิงวิชาการ จำเป็นต้องแยกให้ชัดว่าข้อเสนอดังกล่าวยังอยู่ในระดับ conceptual architecture มากกว่ากรอบที่ได้รับการพิสูจน์เชิงประจักษ์ครบถ้วน จึงควรมีการพัฒนาเป็นงานทดลองที่กำหนดตัวชี้วัด วิธีเปรียบเทียบกับ baseline และผลการทดสอบซ้ำในอนาคต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4.6 ตารางสรุปการเปรียบเทียบกรอบกำกับดูแล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28"/>
            <w:tcMar>
              <w:top w:w="110" w:type="dxa"/>
              <w:start w:w="110" w:type="dxa"/>
              <w:bottom w:w="110" w:type="dxa"/>
              <w:end w:w="110" w:type="dxa"/>
            </w:tcMar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21"/>
                <w:rFonts w:ascii="Noto Serif Thai" w:hAnsi="Noto Serif Thai" w:eastAsia="Noto Serif Thai" w:cs="Noto Serif Thai"/>
              </w:rPr>
              <w:t>กรอบ/ภูมิภาค</w:t>
            </w:r>
          </w:p>
        </w:tc>
        <w:tc>
          <w:tcPr>
            <w:tcW w:type="dxa" w:w="1984"/>
            <w:tcMar>
              <w:top w:w="110" w:type="dxa"/>
              <w:start w:w="110" w:type="dxa"/>
              <w:bottom w:w="110" w:type="dxa"/>
              <w:end w:w="110" w:type="dxa"/>
            </w:tcMar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21"/>
                <w:rFonts w:ascii="Noto Serif Thai" w:hAnsi="Noto Serif Thai" w:eastAsia="Noto Serif Thai" w:cs="Noto Serif Thai"/>
              </w:rPr>
              <w:t>ลักษณะเด่น</w:t>
            </w:r>
          </w:p>
        </w:tc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21"/>
                <w:rFonts w:ascii="Noto Serif Thai" w:hAnsi="Noto Serif Thai" w:eastAsia="Noto Serif Thai" w:cs="Noto Serif Thai"/>
              </w:rPr>
              <w:t>จุดแข็ง</w:t>
            </w:r>
          </w:p>
        </w:tc>
        <w:tc>
          <w:tcPr>
            <w:tcW w:type="dxa" w:w="1757"/>
            <w:tcMar>
              <w:top w:w="110" w:type="dxa"/>
              <w:start w:w="110" w:type="dxa"/>
              <w:bottom w:w="110" w:type="dxa"/>
              <w:end w:w="110" w:type="dxa"/>
            </w:tcMar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21"/>
                <w:rFonts w:ascii="Noto Serif Thai" w:hAnsi="Noto Serif Thai" w:eastAsia="Noto Serif Thai" w:cs="Noto Serif Thai"/>
              </w:rPr>
              <w:t>ข้อจำกัดเมื่อใช้กับ Agentic AI</w:t>
            </w:r>
          </w:p>
        </w:tc>
      </w:tr>
      <w:t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center"/>
            </w:pPr>
            <w:r>
              <w:rPr>
                <w:sz w:val="21"/>
                <w:rFonts w:ascii="Noto Serif Thai" w:hAnsi="Noto Serif Thai" w:eastAsia="Noto Serif Thai" w:cs="Noto Serif Thai"/>
              </w:rPr>
              <w:t>EU AI Act</w:t>
            </w:r>
          </w:p>
        </w:tc>
        <w:tc>
          <w:tcPr>
            <w:tcW w:type="dxa" w:w="1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กฎหมายอิงความเสี่ยง</w:t>
            </w:r>
          </w:p>
        </w:tc>
        <w:tc>
          <w:tcPr>
            <w:tcW w:type="dxa" w:w="255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มีข้อกำหนดและบทลงโทษชัดเจน</w:t>
            </w:r>
          </w:p>
        </w:tc>
        <w:tc>
          <w:tcPr>
            <w:tcW w:type="dxa" w:w="175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ยังต้องแปลงข้อกฎหมายเป็นกลไกเชิงระบบภายในองค์กร</w:t>
            </w:r>
          </w:p>
        </w:tc>
      </w:tr>
      <w:t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center"/>
            </w:pPr>
            <w:r>
              <w:rPr>
                <w:sz w:val="21"/>
                <w:rFonts w:ascii="Noto Serif Thai" w:hAnsi="Noto Serif Thai" w:eastAsia="Noto Serif Thai" w:cs="Noto Serif Thai"/>
              </w:rPr>
              <w:t>NIST AI RMF</w:t>
            </w:r>
          </w:p>
        </w:tc>
        <w:tc>
          <w:tcPr>
            <w:tcW w:type="dxa" w:w="1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กรอบบริหารความเสี่ยง</w:t>
            </w:r>
          </w:p>
        </w:tc>
        <w:tc>
          <w:tcPr>
            <w:tcW w:type="dxa" w:w="255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ยืดหยุ่นและใช้ได้กว้าง</w:t>
            </w:r>
          </w:p>
        </w:tc>
        <w:tc>
          <w:tcPr>
            <w:tcW w:type="dxa" w:w="175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ไม่ใช่กฎหมายบังคับและต้องอาศัย maturity ขององค์กรสูง</w:t>
            </w:r>
          </w:p>
        </w:tc>
      </w:tr>
      <w:t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center"/>
            </w:pPr>
            <w:r>
              <w:rPr>
                <w:sz w:val="21"/>
                <w:rFonts w:ascii="Noto Serif Thai" w:hAnsi="Noto Serif Thai" w:eastAsia="Noto Serif Thai" w:cs="Noto Serif Thai"/>
              </w:rPr>
              <w:t>ISO/IEC 42001</w:t>
            </w:r>
          </w:p>
        </w:tc>
        <w:tc>
          <w:tcPr>
            <w:tcW w:type="dxa" w:w="1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มาตรฐานระบบบริหาร</w:t>
            </w:r>
          </w:p>
        </w:tc>
        <w:tc>
          <w:tcPr>
            <w:tcW w:type="dxa" w:w="255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ช่วยยกระดับ governance ทั้งองค์กร</w:t>
            </w:r>
          </w:p>
        </w:tc>
        <w:tc>
          <w:tcPr>
            <w:tcW w:type="dxa" w:w="175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ไม่ได้ตอบโจทย์พฤติกรรมเชิงตัวแทนในระดับอัลกอริทึมโดยตรง</w:t>
            </w:r>
          </w:p>
        </w:tc>
      </w:tr>
      <w:t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center"/>
            </w:pPr>
            <w:r>
              <w:rPr>
                <w:sz w:val="21"/>
                <w:rFonts w:ascii="Noto Serif Thai" w:hAnsi="Noto Serif Thai" w:eastAsia="Noto Serif Thai" w:cs="Noto Serif Thai"/>
              </w:rPr>
              <w:t>ETDA Guideline</w:t>
            </w:r>
          </w:p>
        </w:tc>
        <w:tc>
          <w:tcPr>
            <w:tcW w:type="dxa" w:w="1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แนวปฏิบัติระดับประเทศ</w:t>
            </w:r>
          </w:p>
        </w:tc>
        <w:tc>
          <w:tcPr>
            <w:tcW w:type="dxa" w:w="255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เหมาะกับการเริ่มต้นจัดวางโครงสร้างองค์กร</w:t>
            </w:r>
          </w:p>
        </w:tc>
        <w:tc>
          <w:tcPr>
            <w:tcW w:type="dxa" w:w="175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ยังต้องต่อยอดสู่กลไกตรวจวัดและควบคุมเชิงเทคนิค</w:t>
            </w:r>
          </w:p>
        </w:tc>
      </w:tr>
      <w:t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center"/>
            </w:pPr>
            <w:r>
              <w:rPr>
                <w:sz w:val="21"/>
                <w:rFonts w:ascii="Noto Serif Thai" w:hAnsi="Noto Serif Thai" w:eastAsia="Noto Serif Thai" w:cs="Noto Serif Thai"/>
              </w:rPr>
              <w:t>ข้อเสนอจากต้นฉบับ</w:t>
            </w:r>
          </w:p>
        </w:tc>
        <w:tc>
          <w:tcPr>
            <w:tcW w:type="dxa" w:w="19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เชื่อม governance กับ architecture</w:t>
            </w:r>
          </w:p>
        </w:tc>
        <w:tc>
          <w:tcPr>
            <w:tcW w:type="dxa" w:w="255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มองลึกถึง honesty และ traceability</w:t>
            </w:r>
          </w:p>
        </w:tc>
        <w:tc>
          <w:tcPr>
            <w:tcW w:type="dxa" w:w="175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7FAFF"/>
          </w:tcPr>
          <w:p>
            <w:pPr>
              <w:jc w:val="left"/>
            </w:pPr>
            <w:r>
              <w:rPr>
                <w:sz w:val="21"/>
                <w:rFonts w:ascii="Noto Serif Thai" w:hAnsi="Noto Serif Thai" w:eastAsia="Noto Serif Thai" w:cs="Noto Serif Thai"/>
              </w:rPr>
              <w:t>ยังต้องมีการพิสูจน์เชิงประจักษ์เพิ่มเติม</w:t>
            </w:r>
          </w:p>
        </w:tc>
      </w:tr>
    </w:tbl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4.7 นัยเชิงยุทธศาสตร์ต่อองค์กรไทย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องค์กรไทยที่ต้องการใช้ Agentic AI ในงานสำคัญไม่ควรรอให้กฎหมายมีผลบังคับใช้ครบทุกมิติแล้วค่อยเริ่มวางระบบ แต่ควรใช้ช่วงเวลานี้สร้าง AI governance capability ภายในองค์กร ทั้งด้าน inventory, risk classification, human oversight, logging, incident response และการประเมินผลหลังการใช้งาน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หากองค์กรไทยสามารถพัฒนาความพร้อมเหล่านี้ได้เร็ว จะกลายเป็นข้อได้เปรียบเชิงการแข่งขัน ทั้งในด้านความไว้วางใจของผู้ใช้ การตรวจสอบของหน่วยกำกับ และความพร้อมสำหรับการขยายระบบในอนาคต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b/>
          <w:color w:val="1F3864"/>
          <w:sz w:val="32"/>
          <w:rFonts w:ascii="Noto Serif Thai" w:hAnsi="Noto Serif Thai" w:eastAsia="Noto Serif Thai" w:cs="Noto Serif Thai"/>
        </w:rPr>
        <w:t>บทที่ 5 สรุป อภิปรายผล และข้อเสนอแนะ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5.1 สรุปผลการวิจัย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งานวิจัยนี้ศึกษาภูมิทัศน์การกำกับดูแล AI ระดับโลกและสังเคราะห์ข้อเสนอเชิงสถาปัตยกรรมสำหรับ Agentic AI โดยใช้การวิจัยเอกสารและการวิเคราะห์เชิงเปรียบเทียบ ผลการศึกษาพบว่า AI เชิงตัวแทนก่อให้เกิดความท้าทายที่ลึกกว่า AI แบบดั้งเดิม เนื่องจากมี autonomy, tool use, memory และ multi-step reasoning สูงขึ้น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กฎหมายและมาตรฐานระดับโลก เช่น EU AI Act, NIST AI RMF และ ISO/IEC 42001 ช่วยสร้างกรอบสำคัญสำหรับ governance แต่ยังต้องมีการแปลงหลักการเหล่านี้ให้เป็นกลไกภายในระบบ ในขณะเดียวกัน แนวทางของ ETDA มีบทบาทสำคัญในการเตรียมความพร้อมขององค์กรไทย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งานวิจัยยังยืนยันว่าความแม่นยำของโมเดลไม่เพียงพอสำหรับการประเมินความน่าเชื่อถือของ Agentic AI จึงจำเป็นต้องพิจารณา honesty, calibration, traceability และความรับผิดชอบเชิงระบบควบคู่กันไป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5.2 อภิปรายผล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ข้อค้นพบสำคัญของงานนี้คือ การกำกับดูแล Agentic AI ในอนาคตจะไม่สามารถพึ่งพาเอกสารเชิงนโยบายเพียงอย่างเดียวได้อีกต่อไป แต่ต้องอาศัย architecture ที่บังคับใช้ข้อกำหนดได้จริง เช่น approval gates, escalation rules, human override, confidence calibration และ audit log ที่ตรวจสอบย้อนหลังได้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ในเชิงทฤษฎี งานนี้สนับสนุนแนวคิดว่า Responsible AI ควรถูกยกระดับจากหลักจริยธรรมเชิงนามธรรมไปสู่การออกแบบระบบเชิงวิศวกรรม ในเชิงปฏิบัติ งานนี้เสนอให้องค์กรสร้างความพร้อมทั้งในระดับ governance, operations และ monitoring พร้อมกัน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5.3 ข้อเสนอแนะเชิงนโยบาย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หน่วยงานกำกับดูแลควรพัฒนาแนวทางเฉพาะสำหรับ Agentic AI ที่ครอบคลุม autonomy, tool use และ multi-agent coordination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ควรสนับสนุนการสร้าง sandbox และแนวปฏิบัติสำหรับงานความเสี่ยงสูง เพื่อให้องค์กรทดลองระบบภายใต้การควบคุม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ควรมีการส่งเสริมมาตรฐานด้าน log, traceability, evaluation และ incident reporting สำหรับระบบ AI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5.4 ข้อเสนอแนะเชิงปฏิบัติสำหรับองค์กร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จัดตั้งโครงสร้างผู้รับผิดชอบด้าน AI governance อย่างชัดเจน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จัดทำทะเบียนระบบ AI และจำแนกระดับความเสี่ยงของแต่ละกรณีใช้งาน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พัฒนากลไก human oversight สำหรับงานที่มีผลกระทบสูง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จัดให้มีการประเมิน calibration, robustness และ post-deployment monitoring อย่างต่อเนื่อง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ลงทุนในระบบบันทึกเหตุผลและเส้นทางการตัดสินใจเพื่อรองรับ audit และ compliance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5.5 ข้อเสนอแนะสำหรับการวิจัยครั้งต่อไป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ควรออกแบบการทดลองเชิงประจักษ์เพื่อทดสอบข้อเสนอเชิงสถาปัตยกรรมที่ปรากฏในต้นฉบับ เช่น RAAIA 3.1, GLUE v2.0 และ LeJEPA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ควรสร้างชุดตัวชี้วัดสำหรับ honesty, calibration, traceability และ multi-agent failure propagation ที่สามารถเปรียบเทียบข้ามโมเดลได้</w:t>
      </w:r>
    </w:p>
    <w:p>
      <w:pPr>
        <w:pStyle w:val="ListBullet"/>
        <w:spacing w:before="0" w:after="40" w:line="300" w:lineRule="auto"/>
        <w:jc w:val="both"/>
      </w:pPr>
      <w:r>
        <w:rPr>
          <w:sz w:val="22"/>
          <w:rFonts w:ascii="Noto Serif Thai" w:hAnsi="Noto Serif Thai" w:eastAsia="Noto Serif Thai" w:cs="Noto Serif Thai"/>
        </w:rPr>
        <w:t>ควรศึกษาเปรียบเทียบผลของ governance architecture ในบริบทการเงิน การแพทย์ และภาครัฐ ซึ่งเป็นบริบทความเสี่ยงสูงที่มีเงื่อนไขต่างกัน</w:t>
      </w:r>
    </w:p>
    <w:p>
      <w:pPr>
        <w:pStyle w:val="Heading2"/>
        <w:spacing w:before="160" w:after="120" w:line="264" w:lineRule="auto"/>
      </w:pPr>
      <w:r>
        <w:rPr>
          <w:b/>
          <w:color w:val="2F5597"/>
          <w:sz w:val="27"/>
          <w:rFonts w:ascii="Noto Serif Thai" w:hAnsi="Noto Serif Thai" w:eastAsia="Noto Serif Thai" w:cs="Noto Serif Thai"/>
        </w:rPr>
        <w:t>5.6 บทสรุปสุดท้าย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ท้ายที่สุด ความท้าทายของ Agentic AI ไม่ได้อยู่ที่การสร้างระบบให้ฉลาดที่สุดเท่านั้น แต่อยู่ที่การสร้างระบบที่เชื่อถือได้ ควบคุมได้ และรับผิดชอบได้เมื่อทำงานในโลกจริง</w:t>
      </w:r>
    </w:p>
    <w:p>
      <w:pPr>
        <w:spacing w:before="0" w:after="100" w:line="324" w:lineRule="auto"/>
        <w:ind w:firstLine="567"/>
        <w:jc w:val="both"/>
      </w:pPr>
      <w:r>
        <w:rPr>
          <w:sz w:val="23"/>
          <w:rFonts w:ascii="Noto Serif Thai" w:hAnsi="Noto Serif Thai" w:eastAsia="Noto Serif Thai" w:cs="Noto Serif Thai"/>
        </w:rPr>
        <w:t>องค์กรหรือประเทศที่สามารถเปลี่ยน Responsible AI จากถ้อยคำเชิงนโยบายให้กลายเป็นความสามารถเชิงสถาปัตยกรรม จะมีข้อได้เปรียบอย่างยั่งยืนทั้งด้านความไว้วางใจ การปฏิบัติตามกฎระเบียบ และความพร้อมในการใช้ AI กับงานสำคัญในระยะยาว</w:t>
      </w:r>
    </w:p>
    <w:p>
      <w:r>
        <w:br w:type="page"/>
      </w:r>
    </w:p>
    <w:p>
      <w:pPr>
        <w:pStyle w:val="Heading1"/>
        <w:spacing w:before="0" w:after="120" w:line="264" w:lineRule="auto"/>
      </w:pPr>
      <w:r>
        <w:rPr>
          <w:b/>
          <w:color w:val="1F3864"/>
          <w:sz w:val="32"/>
          <w:rFonts w:ascii="Noto Serif Thai" w:hAnsi="Noto Serif Thai" w:eastAsia="Noto Serif Thai" w:cs="Noto Serif Thai"/>
        </w:rPr>
        <w:t>บรรณานุกรม</w:t>
      </w:r>
    </w:p>
    <w:p>
      <w:pPr>
        <w:spacing w:before="0" w:after="80" w:line="300" w:lineRule="auto"/>
        <w:ind w:left="425" w:hanging="425"/>
      </w:pPr>
      <w:r>
        <w:rPr>
          <w:sz w:val="22"/>
          <w:rFonts w:ascii="Noto Serif Thai" w:hAnsi="Noto Serif Thai" w:eastAsia="Noto Serif Thai" w:cs="Noto Serif Thai"/>
        </w:rPr>
        <w:t xml:space="preserve">Anthropic. (2024). Alignment faking in large language models. สืบค้นจาก </w:t>
      </w:r>
      <w:hyperlink r:id="rId10">
        <w:r>
          <w:rPr>
            <w:rFonts w:ascii="Noto Serif Thai" w:hAnsi="Noto Serif Thai" w:eastAsia="Noto Serif Thai" w:cs="Noto Serif Thai"/>
            <w:color w:val="2F5597"/>
            <w:u w:val="single"/>
            <w:sz w:val="20"/>
          </w:rPr>
          <w:t>https://www.anthropic.com/news/alignment-faking</w:t>
        </w:r>
      </w:hyperlink>
    </w:p>
    <w:p>
      <w:pPr>
        <w:spacing w:before="0" w:after="80" w:line="300" w:lineRule="auto"/>
        <w:ind w:left="425" w:hanging="425"/>
      </w:pPr>
      <w:r>
        <w:rPr>
          <w:sz w:val="22"/>
          <w:rFonts w:ascii="Noto Serif Thai" w:hAnsi="Noto Serif Thai" w:eastAsia="Noto Serif Thai" w:cs="Noto Serif Thai"/>
        </w:rPr>
        <w:t xml:space="preserve">Electronic Transactions Development Agency (ETDA). (2023). Thailand’s AI Governance Guideline for Executives. สืบค้นจาก </w:t>
      </w:r>
      <w:hyperlink r:id="rId11">
        <w:r>
          <w:rPr>
            <w:rFonts w:ascii="Noto Serif Thai" w:hAnsi="Noto Serif Thai" w:eastAsia="Noto Serif Thai" w:cs="Noto Serif Thai"/>
            <w:color w:val="2F5597"/>
            <w:u w:val="single"/>
            <w:sz w:val="20"/>
          </w:rPr>
          <w:t>https://www.etda.or.th/getattachment/Our-Service/AIGC/Research-and-Recommendation/Thailand%E2%80%99s-AI-Governance-Guideline-for-Executive_2023.pdf.aspx?lang=th-TH</w:t>
        </w:r>
      </w:hyperlink>
    </w:p>
    <w:p>
      <w:pPr>
        <w:spacing w:before="0" w:after="80" w:line="300" w:lineRule="auto"/>
        <w:ind w:left="425" w:hanging="425"/>
      </w:pPr>
      <w:r>
        <w:rPr>
          <w:sz w:val="22"/>
          <w:rFonts w:ascii="Noto Serif Thai" w:hAnsi="Noto Serif Thai" w:eastAsia="Noto Serif Thai" w:cs="Noto Serif Thai"/>
        </w:rPr>
        <w:t xml:space="preserve">Electronic Transactions Development Agency (ETDA). (2025). Generative AI Governance Guideline for Organizations. สืบค้นจาก </w:t>
      </w:r>
      <w:hyperlink r:id="rId12">
        <w:r>
          <w:rPr>
            <w:rFonts w:ascii="Noto Serif Thai" w:hAnsi="Noto Serif Thai" w:eastAsia="Noto Serif Thai" w:cs="Noto Serif Thai"/>
            <w:color w:val="2F5597"/>
            <w:u w:val="single"/>
            <w:sz w:val="20"/>
          </w:rPr>
          <w:t>https://www.etda.or.th/th/our-service/AI-Governance-Clinic/Gen-AI-Governance-Guideline.aspx</w:t>
        </w:r>
      </w:hyperlink>
    </w:p>
    <w:p>
      <w:pPr>
        <w:spacing w:before="0" w:after="80" w:line="300" w:lineRule="auto"/>
        <w:ind w:left="425" w:hanging="425"/>
      </w:pPr>
      <w:r>
        <w:rPr>
          <w:sz w:val="22"/>
          <w:rFonts w:ascii="Noto Serif Thai" w:hAnsi="Noto Serif Thai" w:eastAsia="Noto Serif Thai" w:cs="Noto Serif Thai"/>
        </w:rPr>
        <w:t xml:space="preserve">European Commission. (2025). General-Purpose AI Code of Practice. สืบค้นจาก </w:t>
      </w:r>
      <w:hyperlink r:id="rId13">
        <w:r>
          <w:rPr>
            <w:rFonts w:ascii="Noto Serif Thai" w:hAnsi="Noto Serif Thai" w:eastAsia="Noto Serif Thai" w:cs="Noto Serif Thai"/>
            <w:color w:val="2F5597"/>
            <w:u w:val="single"/>
            <w:sz w:val="20"/>
          </w:rPr>
          <w:t>https://digital-strategy.ec.europa.eu/en/news/general-purpose-ai-code-practice-now-available</w:t>
        </w:r>
      </w:hyperlink>
    </w:p>
    <w:p>
      <w:pPr>
        <w:spacing w:before="0" w:after="80" w:line="300" w:lineRule="auto"/>
        <w:ind w:left="425" w:hanging="425"/>
      </w:pPr>
      <w:r>
        <w:rPr>
          <w:sz w:val="22"/>
          <w:rFonts w:ascii="Noto Serif Thai" w:hAnsi="Noto Serif Thai" w:eastAsia="Noto Serif Thai" w:cs="Noto Serif Thai"/>
        </w:rPr>
        <w:t xml:space="preserve">European Union. (2024). Regulation (EU) 2024/1689 (Artificial Intelligence Act). สืบค้นจาก </w:t>
      </w:r>
      <w:hyperlink r:id="rId14">
        <w:r>
          <w:rPr>
            <w:rFonts w:ascii="Noto Serif Thai" w:hAnsi="Noto Serif Thai" w:eastAsia="Noto Serif Thai" w:cs="Noto Serif Thai"/>
            <w:color w:val="2F5597"/>
            <w:u w:val="single"/>
            <w:sz w:val="20"/>
          </w:rPr>
          <w:t>https://eur-lex.europa.eu/legal-content/EN/TXT/?uri=CELEX:32024R1689</w:t>
        </w:r>
      </w:hyperlink>
    </w:p>
    <w:p>
      <w:pPr>
        <w:spacing w:before="0" w:after="80" w:line="300" w:lineRule="auto"/>
        <w:ind w:left="425" w:hanging="425"/>
      </w:pPr>
      <w:r>
        <w:rPr>
          <w:sz w:val="22"/>
          <w:rFonts w:ascii="Noto Serif Thai" w:hAnsi="Noto Serif Thai" w:eastAsia="Noto Serif Thai" w:cs="Noto Serif Thai"/>
        </w:rPr>
        <w:t xml:space="preserve">ISO. (2023). ISO/IEC 42001:2023 Artificial intelligence management systems. สืบค้นจาก </w:t>
      </w:r>
      <w:hyperlink r:id="rId15">
        <w:r>
          <w:rPr>
            <w:rFonts w:ascii="Noto Serif Thai" w:hAnsi="Noto Serif Thai" w:eastAsia="Noto Serif Thai" w:cs="Noto Serif Thai"/>
            <w:color w:val="2F5597"/>
            <w:u w:val="single"/>
            <w:sz w:val="20"/>
          </w:rPr>
          <w:t>https://www.iso.org/standard/42001.html</w:t>
        </w:r>
      </w:hyperlink>
    </w:p>
    <w:p>
      <w:pPr>
        <w:spacing w:before="0" w:after="80" w:line="300" w:lineRule="auto"/>
        <w:ind w:left="425" w:hanging="425"/>
      </w:pPr>
      <w:r>
        <w:rPr>
          <w:sz w:val="22"/>
          <w:rFonts w:ascii="Noto Serif Thai" w:hAnsi="Noto Serif Thai" w:eastAsia="Noto Serif Thai" w:cs="Noto Serif Thai"/>
        </w:rPr>
        <w:t xml:space="preserve">National Institute of Standards and Technology (NIST). (2024). Artificial Intelligence Risk Management Framework: Generative AI Profile. สืบค้นจาก </w:t>
      </w:r>
      <w:hyperlink r:id="rId16">
        <w:r>
          <w:rPr>
            <w:rFonts w:ascii="Noto Serif Thai" w:hAnsi="Noto Serif Thai" w:eastAsia="Noto Serif Thai" w:cs="Noto Serif Thai"/>
            <w:color w:val="2F5597"/>
            <w:u w:val="single"/>
            <w:sz w:val="20"/>
          </w:rPr>
          <w:t>https://www.nist.gov/publications/artificial-intelligence-risk-management-framework-generative-artificial-intelligence</w:t>
        </w:r>
      </w:hyperlink>
    </w:p>
    <w:p>
      <w:pPr>
        <w:spacing w:before="0" w:after="80" w:line="300" w:lineRule="auto"/>
        <w:ind w:left="425" w:hanging="425"/>
      </w:pPr>
      <w:r>
        <w:rPr>
          <w:sz w:val="22"/>
          <w:rFonts w:ascii="Noto Serif Thai" w:hAnsi="Noto Serif Thai" w:eastAsia="Noto Serif Thai" w:cs="Noto Serif Thai"/>
        </w:rPr>
        <w:t xml:space="preserve">Reserve Bank of India. (2025). Framework for Responsible and Ethical Enablement of AI (FREE-AI) in the Financial Sector. สืบค้นจาก </w:t>
      </w:r>
      <w:hyperlink r:id="rId17">
        <w:r>
          <w:rPr>
            <w:rFonts w:ascii="Noto Serif Thai" w:hAnsi="Noto Serif Thai" w:eastAsia="Noto Serif Thai" w:cs="Noto Serif Thai"/>
            <w:color w:val="2F5597"/>
            <w:u w:val="single"/>
            <w:sz w:val="20"/>
          </w:rPr>
          <w:t>https://www.rbi.org.in/scripts/bs_pressreleasedisplay.aspx/BS_PressReleaseDisplay.aspx?prid=61018</w:t>
        </w:r>
      </w:hyperlink>
    </w:p>
    <w:p>
      <w:pPr>
        <w:spacing w:before="0" w:after="80" w:line="300" w:lineRule="auto"/>
        <w:ind w:left="425" w:hanging="425"/>
      </w:pPr>
      <w:r>
        <w:rPr>
          <w:sz w:val="22"/>
          <w:rFonts w:ascii="Noto Serif Thai" w:hAnsi="Noto Serif Thai" w:eastAsia="Noto Serif Thai" w:cs="Noto Serif Thai"/>
        </w:rPr>
        <w:t>เอกสารต้นฉบับที่ผู้ใช้จัดเตรียม. (ไม่ปรากฏปี). การสังเคราะห์สถาปัตยกรรมและการกำกับดูแลปัญญาประดิษฐ์เชิงตัวแทนระดับโลก: จากนโยบายเชิงแนวคิดสู่การพิสูจน์การควบคุมเชิงคณิตศาสตร์.</w:t>
      </w:r>
    </w:p>
    <w:sectPr w:rsidR="00FC693F" w:rsidRPr="0006063C" w:rsidSect="00034616">
      <w:footerReference w:type="default" r:id="rId9"/>
      <w:pgSz w:w="12240" w:h="15840"/>
      <w:pgMar w:top="1417" w:right="1417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20"/>
        <w:rFonts w:ascii="Noto Serif Thai" w:hAnsi="Noto Serif Thai" w:eastAsia="Noto Serif Thai" w:cs="Noto Serif Thai"/>
      </w:rPr>
      <w:t xml:space="preserve">หน้า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Thai" w:hAnsi="Noto Serif Thai" w:eastAsia="Noto Serif Tha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Thai" w:hAnsi="Noto Serif Thai" w:eastAsia="Noto Serif Tha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Thai" w:hAnsi="Noto Serif Thai" w:eastAsia="Noto Serif Thai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Thai" w:hAnsi="Noto Serif Thai" w:eastAsia="Noto Serif Thai"/>
      <w:b/>
      <w:bCs/>
      <w:color w:val="4F4F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Thai" w:hAnsi="Noto Serif Thai" w:eastAsia="Noto Serif Tha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Thai" w:hAnsi="Noto Serif Thai" w:eastAsia="Noto Serif Tha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anthropic.com/news/alignment-faking" TargetMode="External"/><Relationship Id="rId11" Type="http://schemas.openxmlformats.org/officeDocument/2006/relationships/hyperlink" Target="https://www.etda.or.th/getattachment/Our-Service/AIGC/Research-and-Recommendation/Thailand%E2%80%99s-AI-Governance-Guideline-for-Executive_2023.pdf.aspx?lang=th-TH" TargetMode="External"/><Relationship Id="rId12" Type="http://schemas.openxmlformats.org/officeDocument/2006/relationships/hyperlink" Target="https://www.etda.or.th/th/our-service/AI-Governance-Clinic/Gen-AI-Governance-Guideline.aspx" TargetMode="External"/><Relationship Id="rId13" Type="http://schemas.openxmlformats.org/officeDocument/2006/relationships/hyperlink" Target="https://digital-strategy.ec.europa.eu/en/news/general-purpose-ai-code-practice-now-available" TargetMode="External"/><Relationship Id="rId14" Type="http://schemas.openxmlformats.org/officeDocument/2006/relationships/hyperlink" Target="https://eur-lex.europa.eu/legal-content/EN/TXT/?uri=CELEX:32024R1689" TargetMode="External"/><Relationship Id="rId15" Type="http://schemas.openxmlformats.org/officeDocument/2006/relationships/hyperlink" Target="https://www.iso.org/standard/42001.html" TargetMode="External"/><Relationship Id="rId16" Type="http://schemas.openxmlformats.org/officeDocument/2006/relationships/hyperlink" Target="https://www.nist.gov/publications/artificial-intelligence-risk-management-framework-generative-artificial-intelligence" TargetMode="External"/><Relationship Id="rId17" Type="http://schemas.openxmlformats.org/officeDocument/2006/relationships/hyperlink" Target="https://www.rbi.org.in/scripts/bs_pressreleasedisplay.aspx/BS_PressReleaseDisplay.aspx?prid=61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