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Monthly Sales Report</w:t>
      </w:r>
    </w:p>
    <w:p>
      <w:pPr>
        <w:pBdr>
          <w:bottom w:val="single" w:color="1F3A5F" w:sz="8" w:space="6"/>
        </w:pBdr>
        <w:spacing w:after="240"/>
      </w:pPr>
      <w:r>
        <w:rPr>
          <w:color w:val="666666"/>
          <w:sz w:val="19"/>
          <w:szCs w:val="19"/>
        </w:rPr>
        <w:t xml:space="preserve">November 2024  |  Prepared by the Business Data Analyst Agent  |  Data as of 30 Nov 2024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F2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Revenue, Nov 2024</w:t>
            </w:r>
          </w:p>
          <w:p>
            <w:r>
              <w:rPr>
                <w:b/>
                <w:bCs/>
                <w:color w:val="1F3A5F"/>
                <w:sz w:val="30"/>
                <w:szCs w:val="30"/>
              </w:rPr>
              <w:t xml:space="preserve">$184,200</w:t>
            </w:r>
          </w:p>
        </w:tc>
        <w:tc>
          <w:tcPr>
            <w:tcW w:type="dxa" w:w="300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F2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Change vs October</w:t>
            </w:r>
          </w:p>
          <w:p>
            <w:r>
              <w:rPr>
                <w:b/>
                <w:bCs/>
                <w:color w:val="1F3A5F"/>
                <w:sz w:val="30"/>
                <w:szCs w:val="30"/>
              </w:rPr>
              <w:t xml:space="preserve">-12.0%</w:t>
            </w:r>
          </w:p>
        </w:tc>
        <w:tc>
          <w:tcPr>
            <w:tcW w:type="dxa" w:w="300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F2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Top product, $31,400</w:t>
            </w:r>
          </w:p>
          <w:p>
            <w:r>
              <w:rPr>
                <w:b/>
                <w:bCs/>
                <w:color w:val="1F3A5F"/>
                <w:sz w:val="30"/>
                <w:szCs w:val="30"/>
              </w:rPr>
              <w:t xml:space="preserve">Oak Dining Table</w:t>
            </w:r>
          </w:p>
        </w:tc>
      </w:tr>
    </w:tbl>
    <w:p>
      <w:pPr>
        <w:pStyle w:val="Heading1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Revenue for November 2024 was $184,200, down 12.0% from October ($209,318). Revenue was fairly steady from June to October, so November is the first clear drop.</w:t>
      </w:r>
    </w:p>
    <w:p>
      <w:pPr>
        <w:spacing w:after="120"/>
      </w:pPr>
      <w:r>
        <w:rPr>
          <w:sz w:val="21"/>
          <w:szCs w:val="21"/>
        </w:rPr>
        <w:t xml:space="preserve">The management report for November (sample) mentions supply delays as a possible factor. The sales data alone does not show whether this caused the fall.</w:t>
      </w:r>
    </w:p>
    <w:p>
      <w:pPr>
        <w:pStyle w:val="Heading1"/>
      </w:pPr>
      <w:r>
        <w:t xml:space="preserve">Revenue trend</w:t>
      </w:r>
    </w:p>
    <w:p>
      <w:pPr>
        <w:spacing w:after="120"/>
      </w:pPr>
      <w:r>
        <w:drawing>
          <wp:inline distT="0" distB="0" distL="0" distR="0">
            <wp:extent cx="5619750" cy="2590800"/>
            <wp:effectExtent t="0" r="0" b="0" l="0"/>
            <wp:docPr id="1" name="revenue-chart" descr="Bar chart of monthly revenue from June to November 2024" title="Monthly re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Top products in November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2300"/>
        <w:gridCol w:w="1700"/>
      </w:tblGrid>
      <w:tr>
        <w:trPr>
          <w:tblHeader/>
        </w:trP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Oak Dining Table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$31,400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17.0%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Ergonomic Office Chair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$27,950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15.2%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Standing Desk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$24,600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13.4%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Large Bookshelf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$19,800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10.7%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3-Seater Sofa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$18,350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10.0%</w:t>
            </w:r>
          </w:p>
        </w:tc>
      </w:tr>
    </w:tbl>
    <w:p>
      <w:pPr>
        <w:pStyle w:val="Heading1"/>
        <w:pageBreakBefore/>
      </w:pPr>
      <w:r>
        <w:t xml:space="preserve">Findings and recommended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400"/>
        <w:gridCol w:w="2026"/>
      </w:tblGrid>
      <w:tr>
        <w:trPr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  <w:tc>
          <w:tcPr>
            <w:tcW w:type="dxa" w:w="20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Caveat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Revenue fell 12.0% in November.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October $209,318 to November $184,200, down $25,118.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Check stock and delivery records for November before drawing conclusions.</w:t>
            </w:r>
          </w:p>
        </w:tc>
        <w:tc>
          <w:tcPr>
            <w:tcW w:type="dxa" w:w="20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The November management report mentions supply delays. The data does not show that they caused the fall.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Five products make up 66.3% of November revenue.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Top five total $122,100 of $184,200.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Confirm stock levels for these five products are healthy.</w:t>
            </w:r>
          </w:p>
        </w:tc>
        <w:tc>
          <w:tcPr>
            <w:tcW w:type="dxa" w:w="20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Completed orders only. One month of data.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October was already slightly lower than September.</w:t>
            </w:r>
          </w:p>
        </w:tc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September $211,400 to October $209,318, down 1.0%.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Compare order counts for September to November to see when the dip began.</w:t>
            </w:r>
          </w:p>
        </w:tc>
        <w:tc>
          <w:tcPr>
            <w:tcW w:type="dxa" w:w="20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 1.0% change is small and may be normal variation.</w:t>
            </w:r>
          </w:p>
        </w:tc>
      </w:tr>
    </w:tbl>
    <w:p>
      <w:pPr>
        <w:pStyle w:val="Heading1"/>
      </w:pPr>
      <w:r>
        <w:t xml:space="preserve">Sources and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19"/>
          <w:szCs w:val="19"/>
        </w:rPr>
        <w:t xml:space="preserve">Figures come from run_analysis results: revenue_by_period, period_change and revenue_by_product.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19"/>
          <w:szCs w:val="19"/>
        </w:rPr>
        <w:t xml:space="preserve">Revenue means quantity x unit price on completed orders only. Cancelled and returned orders are excluded.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  <w:sz w:val="19"/>
          <w:szCs w:val="19"/>
        </w:rPr>
        <w:t xml:space="preserve">Explanations taken from documents are reported as stated and are not treated as proven causes.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Sample report. All figures are illustrative.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1939cf0f6ef2064b0814f503d858b30db401f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Sales Report, November 2024 (sample)</dc:title>
  <dc:creator>Business Data Analyst Agent</dc:creator>
  <cp:lastModifiedBy>Un-named</cp:lastModifiedBy>
  <cp:revision>1</cp:revision>
  <dcterms:created xsi:type="dcterms:W3CDTF">2026-10-23T08:00:00.865Z</dcterms:created>
  <dcterms:modified xsi:type="dcterms:W3CDTF">2026-10-23T08:00:00.865Z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