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Monthly Sales Report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November 2024  |  Prepared by the Business Data Analyst Agent  |  Data as of 30 Nov 2024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Total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Units sold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251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Furniture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R25,659</w:t>
            </w:r>
          </w:p>
        </w:tc>
        <w:tc>
          <w:tcPr>
            <w:tcW w:type="dxa" w:w="225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Customer 023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R4,198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Completed-order sales analysis covers 2024-11-01 through 2024-11-30.</w:t>
      </w:r>
    </w:p>
    <w:p>
      <w:pPr>
        <w:spacing w:after="120"/>
      </w:pPr>
      <w:r>
        <w:t>Furniture was the highest-revenue category, and Customer 023 was the top customer in the returned ranking.</w:t>
      </w:r>
    </w:p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 led the returned category results.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 revenue was 2,565,948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Review category performance for the reporting period.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This comparison covers completed orders in this period.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Customer 023 led the returned customer ranking.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Customer 023 revenue was 419,790 cents across 2 orders.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Review this customer's order history in context.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ranking reflects completed orders in this period.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Category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Period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Top Customers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is quantity multiplied by unit price in integer cents.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