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Revenue Comparison: December 2024 vs November 2024</w:t>
      </w:r>
    </w:p>
    <w:p>
      <w:pPr>
        <w:keepNext/>
        <w:spacing w:after="160"/>
        <w:pBdr>
          <w:bottom w:val="single" w:sz="10" w:space="4" w:color="1F3A5F"/>
        </w:pBdr>
      </w:pPr>
      <w:r>
        <w:rPr>
          <w:rFonts w:ascii="Arial" w:hAnsi="Arial"/>
          <w:color w:val="666666"/>
          <w:sz w:val="18"/>
        </w:rPr>
        <w:t>December 2024 vs November 2024  |  Prepared by the Business Data Analyst Agent  |  Data as of 31 Dec 2024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nil" w:sz="0" w:space="0" w:color="EEF2F7"/>
          <w:left w:val="nil" w:sz="0" w:space="0" w:color="EEF2F7"/>
          <w:bottom w:val="nil" w:sz="0" w:space="0" w:color="EEF2F7"/>
          <w:right w:val="nil" w:sz="0" w:space="0" w:color="EEF2F7"/>
          <w:insideH w:val="nil" w:sz="0" w:space="0" w:color="EEF2F7"/>
          <w:insideV w:val="nil" w:sz="0" w:space="0" w:color="EEF2F7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vAlign w:val="center"/>
            <w:shd w:fill="EEF2F7" w:val="clea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color w:val="666666"/>
                <w:sz w:val="16"/>
              </w:rPr>
              <w:t>December 2024 revenue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F3A5F"/>
                <w:sz w:val="34"/>
              </w:rPr>
              <w:t>R15,748</w:t>
            </w:r>
          </w:p>
        </w:tc>
        <w:tc>
          <w:tcPr>
            <w:tcW w:type="dxa" w:w="3008"/>
            <w:vAlign w:val="center"/>
            <w:shd w:fill="EEF2F7" w:val="clea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color w:val="666666"/>
                <w:sz w:val="16"/>
              </w:rPr>
              <w:t>November 2024 revenue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F3A5F"/>
                <w:sz w:val="34"/>
              </w:rPr>
              <w:t>R40,179</w:t>
            </w:r>
          </w:p>
        </w:tc>
        <w:tc>
          <w:tcPr>
            <w:tcW w:type="dxa" w:w="3010"/>
            <w:vAlign w:val="center"/>
            <w:shd w:fill="EEF2F7" w:val="clea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color w:val="666666"/>
                <w:sz w:val="16"/>
              </w:rPr>
              <w:t>Revenue change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F3A5F"/>
                <w:sz w:val="34"/>
              </w:rPr>
              <w:t>-R24,432</w:t>
            </w:r>
          </w:p>
        </w:tc>
      </w:tr>
    </w:tbl>
    <w:p>
      <w:pPr>
        <w:pStyle w:val="Heading1"/>
      </w:pPr>
      <w:r>
        <w:t>Summary</w:t>
      </w:r>
    </w:p>
    <w:p>
      <w:pPr>
        <w:spacing w:after="120"/>
      </w:pPr>
      <w:r>
        <w:t>Completed-order revenue decreased between November 2024 and December 2024.</w:t>
      </w:r>
    </w:p>
    <w:p>
      <w:pPr>
        <w:pStyle w:val="Heading1"/>
        <w:pageBreakBefore/>
      </w:pPr>
      <w:r>
        <w:t>Findings and recommended actions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256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2256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Recommended action</w:t>
            </w:r>
          </w:p>
        </w:tc>
        <w:tc>
          <w:tcPr>
            <w:tcW w:type="dxa" w:w="2258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Caveat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Revenue decreased in the current period.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Revenue change was -2443157 cents.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Review the underlying sales results for context.</w:t>
            </w:r>
          </w:p>
        </w:tc>
        <w:tc>
          <w:tcPr>
            <w:tcW w:type="dxa" w:w="2258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The comparison covers completed orders in the two specified periods and does not establish a cause.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The comparison uses the two requested periods.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December 2024 revenue was 1574792 cents; November 2024 revenue was 4017949 cents.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Use the same metric and date ranges for follow-up.</w:t>
            </w:r>
          </w:p>
        </w:tc>
        <w:tc>
          <w:tcPr>
            <w:tcW w:type="dxa" w:w="2258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Revenue is quantity multiplied by unit price in integer cents.</w:t>
            </w:r>
          </w:p>
        </w:tc>
      </w:tr>
    </w:tbl>
    <w:p>
      <w:pPr>
        <w:pStyle w:val="Heading1"/>
      </w:pPr>
      <w:r>
        <w:t>Sources and notes</w:t>
      </w:r>
    </w:p>
    <w:p>
      <w:pPr>
        <w:pStyle w:val="ListBullet"/>
        <w:spacing w:after="40"/>
      </w:pPr>
      <w:r>
        <w:rPr>
          <w:rFonts w:ascii="Arial" w:hAnsi="Arial"/>
          <w:color w:val="666666"/>
          <w:sz w:val="18"/>
        </w:rPr>
        <w:t>Period Change</w:t>
      </w:r>
    </w:p>
    <w:p>
      <w:pPr>
        <w:pStyle w:val="ListBullet"/>
        <w:spacing w:after="40"/>
      </w:pPr>
      <w:r>
        <w:rPr>
          <w:rFonts w:ascii="Arial" w:hAnsi="Arial"/>
          <w:color w:val="666666"/>
          <w:sz w:val="18"/>
        </w:rPr>
        <w:t>Only completed orders are included.</w:t>
      </w:r>
    </w:p>
    <w:p>
      <w:pPr>
        <w:pStyle w:val="ListBullet"/>
        <w:spacing w:after="40"/>
      </w:pPr>
      <w:r>
        <w:rPr>
          <w:rFonts w:ascii="Arial" w:hAnsi="Arial"/>
          <w:color w:val="666666"/>
          <w:sz w:val="18"/>
        </w:rPr>
        <w:t>Revenue is quantity multiplied by unit price in integer cents.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color w:val="666666"/>
        <w:sz w:val="16"/>
      </w:rPr>
      <w:t xml:space="preserve">Figures are based on cited analysis results. Page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/>
        <w:color w:val="666666"/>
        <w:sz w:val="16"/>
      </w:rPr>
      <w:t xml:space="preserve"> of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keepNext/>
      <w:spacing w:before="240" w:after="100"/>
    </w:pPr>
    <w:rPr>
      <w:rFonts w:asciiTheme="majorHAnsi" w:eastAsiaTheme="majorEastAsia" w:hAnsiTheme="majorHAnsi" w:cstheme="majorBidi" w:ascii="Arial" w:hAnsi="Arial" w:eastAsia="Arial"/>
      <w:b/>
      <w:bCs/>
      <w:color w:val="1F3A5F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3A5F" w:themeColor="text2" w:themeShade="BF"/>
      <w:spacing w:val="5"/>
      <w:kern w:val="28"/>
      <w:sz w:val="52"/>
      <w:szCs w:val="52"/>
      <w:b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