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November 2024 Revenue Report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2024-11-01 to 2024-11-30  |  Prepared by the Business Data Analyst Agent  |  Data as of 15 Jan 2025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Total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Units Sold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251</w:t>
            </w:r>
          </w:p>
        </w:tc>
        <w:tc>
          <w:tcPr>
            <w:tcW w:type="dxa" w:w="2256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Highest Category Revenue (Furniture)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R25,659</w:t>
            </w:r>
          </w:p>
        </w:tc>
        <w:tc>
          <w:tcPr>
            <w:tcW w:type="dxa" w:w="225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Lowest Category Revenue (Office Supplies)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R2,075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Revenue for November 2024 totaled 4,017,949 cents from 251 units sold across completed orders, as measured by the revenue_by_period analysis.</w:t>
      </w:r>
    </w:p>
    <w:p>
      <w:pPr>
        <w:spacing w:after="120"/>
      </w:pPr>
      <w:r>
        <w:t>Furniture was the top category at 2,565,948 cents, while Office Supplies was the lowest at 207,548 cents, a difference of 2,358,400 cents.</w:t>
      </w:r>
    </w:p>
    <w:p>
      <w:pPr>
        <w:pStyle w:val="Heading1"/>
      </w:pPr>
      <w:r>
        <w:t>Revenue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 descr="November 2024 Revenue by Category" title="November 2024 Revenue by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Revenue by Category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008"/>
        <w:gridCol w:w="3008"/>
        <w:gridCol w:w="3010"/>
      </w:tblGrid>
      <w:tr>
        <w:trPr>
          <w:tblHeader w:val="true"/>
        </w:trPr>
        <w:tc>
          <w:tcPr>
            <w:tcW w:type="dxa" w:w="300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00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revenue_cents</w:t>
            </w:r>
          </w:p>
        </w:tc>
        <w:tc>
          <w:tcPr>
            <w:tcW w:type="dxa" w:w="3010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units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</w:t>
            </w:r>
          </w:p>
        </w:tc>
        <w:tc>
          <w:tcPr>
            <w:tcW w:type="dxa" w:w="300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R25,659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Electronics</w:t>
            </w:r>
          </w:p>
        </w:tc>
        <w:tc>
          <w:tcPr>
            <w:tcW w:type="dxa" w:w="300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R8,149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Accessories</w:t>
            </w:r>
          </w:p>
        </w:tc>
        <w:tc>
          <w:tcPr>
            <w:tcW w:type="dxa" w:w="300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R4,295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Office Supplies</w:t>
            </w:r>
          </w:p>
        </w:tc>
        <w:tc>
          <w:tcPr>
            <w:tcW w:type="dxa" w:w="3008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R2,075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" w:hAnsi="Arial" w:eastAsia="Arial"/>
                <w:sz w:val="17"/>
              </w:rPr>
              <w:t>52</w:t>
            </w:r>
          </w:p>
        </w:tc>
      </w:tr>
    </w:tbl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Total November 2024 revenue was 4,017,949 cents from 251 units.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revenue_by_period analysis returned 4,017,949 cents and 251 units.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Only completed orders included; cancelled/returned orders excluded.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Furniture was the highest revenue category at 2,565,948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revenue_by_category category_comparison highest_category = Furniture, highest_revenue_cents = 2,565,948.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Office Supplies was the lowest category at 207,548 cents; the difference is 2,358,400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revenue_by_category category_comparison lowest_category = Office Supplies, revenue_difference_cents = 2,358,400, difference_percent_of_lowest = 1136.3154.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None.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Percentage reflects difference relative to lowest category.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Category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Period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All monetary values are in integer cents.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is quantity multiplied by unit price; sales exclude cancelled/returned orders.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