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November 2024 Finance Report</w:t>
      </w:r>
    </w:p>
    <w:p>
      <w:pPr>
        <w:keepNext/>
        <w:spacing w:after="160"/>
        <w:pBdr>
          <w:bottom w:val="single" w:sz="10" w:space="4" w:color="1F3A5F"/>
        </w:pBdr>
      </w:pPr>
      <w:r>
        <w:rPr>
          <w:rFonts w:ascii="Arial" w:hAnsi="Arial"/>
          <w:color w:val="666666"/>
          <w:sz w:val="18"/>
        </w:rPr>
        <w:t>2024-11-01 to 2024-11-30  |  Prepared by the Business Data Analyst Agent  |  Data as of 15 Jan 2025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nil" w:sz="0" w:space="0" w:color="EEF2F7"/>
          <w:left w:val="nil" w:sz="0" w:space="0" w:color="EEF2F7"/>
          <w:bottom w:val="nil" w:sz="0" w:space="0" w:color="EEF2F7"/>
          <w:right w:val="nil" w:sz="0" w:space="0" w:color="EEF2F7"/>
          <w:insideH w:val="nil" w:sz="0" w:space="0" w:color="EEF2F7"/>
          <w:insideV w:val="nil" w:sz="0" w:space="0" w:color="EEF2F7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Total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R40,179</w:t>
            </w:r>
          </w:p>
        </w:tc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Units Sold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251</w:t>
            </w:r>
          </w:p>
        </w:tc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Highest Category Revenue (Furniture)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R25,659</w:t>
            </w:r>
          </w:p>
        </w:tc>
        <w:tc>
          <w:tcPr>
            <w:tcW w:type="dxa" w:w="225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Top Product Revenue (Standing Desk)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R19,720</w:t>
            </w:r>
          </w:p>
        </w:tc>
      </w:tr>
    </w:tbl>
    <w:p>
      <w:pPr>
        <w:pStyle w:val="Heading1"/>
      </w:pPr>
      <w:r>
        <w:t>Summary</w:t>
      </w:r>
    </w:p>
    <w:p>
      <w:pPr>
        <w:spacing w:after="120"/>
      </w:pPr>
      <w:r>
        <w:t>Total revenue for November 2024 was 4,017,949 cents from 251 units sold across completed orders, as measured by the revenue_by_period analysis.</w:t>
      </w:r>
    </w:p>
    <w:p>
      <w:pPr>
        <w:spacing w:after="120"/>
      </w:pPr>
      <w:r>
        <w:t>Furniture was the top category at 2,565,948 cents, and the Standing Desk was the top product at 1,971,966 cents.</w:t>
      </w:r>
    </w:p>
    <w:p>
      <w:pPr>
        <w:pStyle w:val="Heading1"/>
      </w:pPr>
      <w:r>
        <w:t>Revenue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 descr="November 2024 Revenue by Category" title="November 2024 Revenue by Categ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Top Products by Revenue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revenue_cents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units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Standing Desk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R19,720</w:t>
            </w:r>
          </w:p>
        </w:tc>
        <w:tc>
          <w:tcPr>
            <w:tcW w:type="dxa" w:w="225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Ergonomic Chair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R5,940</w:t>
            </w:r>
          </w:p>
        </w:tc>
        <w:tc>
          <w:tcPr>
            <w:tcW w:type="dxa" w:w="225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Noise-Cancelling Headphones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Electronics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R4,560</w:t>
            </w:r>
          </w:p>
        </w:tc>
        <w:tc>
          <w:tcPr>
            <w:tcW w:type="dxa" w:w="225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Mechanical Keyboard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Accessories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R1,980</w:t>
            </w:r>
          </w:p>
        </w:tc>
        <w:tc>
          <w:tcPr>
            <w:tcW w:type="dxa" w:w="225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Laptop Stand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Accessories</w:t>
            </w:r>
          </w:p>
        </w:tc>
        <w:tc>
          <w:tcPr>
            <w:tcW w:type="dxa" w:w="2256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R1,978</w:t>
            </w:r>
          </w:p>
        </w:tc>
        <w:tc>
          <w:tcPr>
            <w:tcW w:type="dxa" w:w="225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43</w:t>
            </w:r>
          </w:p>
        </w:tc>
      </w:tr>
    </w:tbl>
    <w:p>
      <w:pPr>
        <w:pStyle w:val="Heading1"/>
        <w:pageBreakBefore/>
      </w:pPr>
      <w:r>
        <w:t>Findings and recommended actions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Recommended action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Caveat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Total November 2024 revenue was 4,017,949 cents from 251 units.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revenue_by_period analysis returned 4,017,949 cents and 251 units.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Only completed orders included; cancelled/returned orders excluded.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 was the highest revenue category at 2,565,948 cents, versus Office Supplies at 207,548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revenue_by_category returned Furniture at 2,565,948 cents; category_comparison difference vs lowest is 2,358,400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Standing Desk was the top product at 1,971,966 cents from 34 units.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revenue_by_product returned Standing Desk at 1,971,966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Ranking is by revenue, not volume or margin.</w:t>
            </w:r>
          </w:p>
        </w:tc>
      </w:tr>
    </w:tbl>
    <w:p>
      <w:pPr>
        <w:pStyle w:val="Heading1"/>
      </w:pPr>
      <w:r>
        <w:t>Sources and notes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Product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Category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Period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All monetary values are in integer cents.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is quantity multiplied by unit price; sales exclude cancelled/returned orders.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No cost or profit data is available in the approved datasets, so this report covers revenue only.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6"/>
      </w:rPr>
      <w:t xml:space="preserve">Figures are based on cited analysis results.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  <w:spacing w:before="240" w:after="100"/>
    </w:pPr>
    <w:rPr>
      <w:rFonts w:asciiTheme="majorHAnsi" w:eastAsiaTheme="majorEastAsia" w:hAnsiTheme="majorHAnsi" w:cstheme="majorBidi" w:ascii="Arial" w:hAnsi="Arial" w:eastAsia="Arial"/>
      <w:b/>
      <w:bCs/>
      <w:color w:val="1F3A5F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 w:themeColor="text2" w:themeShade="BF"/>
      <w:spacing w:val="5"/>
      <w:kern w:val="28"/>
      <w:sz w:val="52"/>
      <w:szCs w:val="5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