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Revenue Report – November 2024</w:t>
      </w:r>
    </w:p>
    <w:p>
      <w:pPr>
        <w:keepNext/>
        <w:spacing w:after="160"/>
        <w:pBdr>
          <w:bottom w:val="single" w:sz="10" w:space="4" w:color="1F3A5F"/>
        </w:pBdr>
      </w:pPr>
      <w:r>
        <w:rPr>
          <w:rFonts w:ascii="Arial" w:hAnsi="Arial"/>
          <w:color w:val="666666"/>
          <w:sz w:val="18"/>
        </w:rPr>
        <w:t>2024-11-01 to 2024-11-30  |  Prepared by the Business Data Analyst Agent  |  Data as of 15 Jan 2025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nil" w:sz="0" w:space="0" w:color="EEF2F7"/>
          <w:left w:val="nil" w:sz="0" w:space="0" w:color="EEF2F7"/>
          <w:bottom w:val="nil" w:sz="0" w:space="0" w:color="EEF2F7"/>
          <w:right w:val="nil" w:sz="0" w:space="0" w:color="EEF2F7"/>
          <w:insideH w:val="nil" w:sz="0" w:space="0" w:color="EEF2F7"/>
          <w:insideV w:val="nil" w:sz="0" w:space="0" w:color="EEF2F7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Period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2024-11</w:t>
            </w:r>
          </w:p>
        </w:tc>
        <w:tc>
          <w:tcPr>
            <w:tcW w:type="dxa" w:w="3008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Total Revenue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R40,179</w:t>
            </w:r>
          </w:p>
        </w:tc>
        <w:tc>
          <w:tcPr>
            <w:tcW w:type="dxa" w:w="3010"/>
            <w:vAlign w:val="center"/>
            <w:shd w:fill="EEF2F7" w:val="clea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color w:val="666666"/>
                <w:sz w:val="16"/>
              </w:rPr>
              <w:t>Units Sold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1F3A5F"/>
                <w:sz w:val="34"/>
              </w:rPr>
              <w:t>251</w:t>
            </w:r>
          </w:p>
        </w:tc>
      </w:tr>
    </w:tbl>
    <w:p>
      <w:pPr>
        <w:pStyle w:val="Heading1"/>
      </w:pPr>
      <w:r>
        <w:t>Summary</w:t>
      </w:r>
    </w:p>
    <w:p>
      <w:pPr>
        <w:spacing w:after="120"/>
      </w:pPr>
      <w:r>
        <w:t>Total revenue for November 2024 was 4,017,949 cents ($40,179.49) across 251 units sold.</w:t>
      </w:r>
    </w:p>
    <w:p>
      <w:pPr>
        <w:spacing w:after="120"/>
      </w:pPr>
      <w:r>
        <w:t>This reflects completed orders only, with revenue calculated as quantity multiplied by unit price in integer cents.</w:t>
      </w:r>
    </w:p>
    <w:p>
      <w:pPr>
        <w:pStyle w:val="Heading1"/>
        <w:pageBreakBefore/>
      </w:pPr>
      <w:r>
        <w:t>Findings and recommended actions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256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Recommended action</w:t>
            </w:r>
          </w:p>
        </w:tc>
        <w:tc>
          <w:tcPr>
            <w:tcW w:type="dxa" w:w="2258"/>
            <w:vAlign w:val="center"/>
            <w:shd w:fill="1F3A5F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</w:pPr>
            <w:r>
              <w:rPr>
                <w:rFonts w:ascii="Arial" w:hAnsi="Arial"/>
                <w:b/>
                <w:color w:val="FFFFFF"/>
                <w:sz w:val="17"/>
              </w:rPr>
              <w:t>Caveat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November 2024 generated total revenue of 4,017,949 cents.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revenue_by_period analysis returned revenue_cents of 4,017,949 for the period 2024-11-01 to 2024-11-30.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Monitor revenue momentum entering December using period_change.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Only completed orders are included; cancelled and returned orders are excluded.</w:t>
            </w:r>
          </w:p>
        </w:tc>
      </w:tr>
      <w:tr>
        <w:trPr>
          <w:cantSplit/>
        </w:trPr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251 units were sold in November 2024.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The revenue_by_period analysis returned 251 units for the period.</w:t>
            </w:r>
          </w:p>
        </w:tc>
        <w:tc>
          <w:tcPr>
            <w:tcW w:type="dxa" w:w="2256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Combine with per-product analysis to identify volume drivers.</w:t>
            </w:r>
          </w:p>
        </w:tc>
        <w:tc>
          <w:tcPr>
            <w:tcW w:type="dxa" w:w="2258"/>
            <w:vAlign w:val="top"/>
          </w:tcPr>
          <w:p>
            <w:pPr>
              <w:keepLines/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>This is a monthly aggregated figure without customer or product breakdown.</w:t>
            </w:r>
          </w:p>
        </w:tc>
      </w:tr>
    </w:tbl>
    <w:p>
      <w:pPr>
        <w:pStyle w:val="Heading1"/>
      </w:pPr>
      <w:r>
        <w:t>Sources and notes</w:t>
      </w:r>
    </w:p>
    <w:p>
      <w:pPr>
        <w:pStyle w:val="ListBullet"/>
        <w:spacing w:after="40"/>
      </w:pPr>
      <w:r>
        <w:rPr>
          <w:rFonts w:ascii="Arial" w:hAnsi="Arial"/>
          <w:color w:val="666666"/>
          <w:sz w:val="18"/>
        </w:rPr>
        <w:t>Revenue By Period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66666"/>
        <w:sz w:val="16"/>
      </w:rPr>
      <w:t xml:space="preserve">Figures are based on cited analysis results.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of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keepNext/>
      <w:spacing w:before="240" w:after="100"/>
    </w:pPr>
    <w:rPr>
      <w:rFonts w:asciiTheme="majorHAnsi" w:eastAsiaTheme="majorEastAsia" w:hAnsiTheme="majorHAnsi" w:cstheme="majorBidi" w:ascii="Arial" w:hAnsi="Arial" w:eastAsia="Arial"/>
      <w:b/>
      <w:bCs/>
      <w:color w:val="1F3A5F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3A5F" w:themeColor="text2" w:themeShade="BF"/>
      <w:spacing w:val="5"/>
      <w:kern w:val="28"/>
      <w:sz w:val="52"/>
      <w:szCs w:val="52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