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ind w:right="0"/>
        <w:rPr>
          <w:rFonts w:ascii="Inter" w:cs="Inter" w:eastAsia="Inter" w:hAnsi="Inter"/>
          <w:color w:val="000000"/>
          <w:sz w:val="26"/>
          <w:szCs w:val="26"/>
        </w:rPr>
      </w:pPr>
      <w:bookmarkStart w:colFirst="0" w:colLast="0" w:name="_heading=h.r7ig5sbgx642" w:id="0"/>
      <w:bookmarkEnd w:id="0"/>
      <w:r w:rsidDel="00000000" w:rsidR="00000000" w:rsidRPr="00000000">
        <w:rPr>
          <w:rFonts w:ascii="Inter" w:cs="Inter" w:eastAsia="Inter" w:hAnsi="Inter"/>
          <w:color w:val="000000"/>
          <w:sz w:val="26"/>
          <w:szCs w:val="26"/>
          <w:rtl w:val="0"/>
        </w:rPr>
        <w:t xml:space="preserve">Linee guida per l’implementazione della landing page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b w:val="0"/>
          <w:bCs w:val="0"/>
          <w:color w:val="000000"/>
        </w:rPr>
      </w:pPr>
      <w:bookmarkStart w:colFirst="0" w:colLast="0" w:name="_heading=h.tysba720oneg" w:id="1"/>
      <w:bookmarkEnd w:id="1"/>
      <w:r w:rsidDel="00000000" w:rsidR="00000000" w:rsidRPr="00000000">
        <w:rPr>
          <w:rFonts w:ascii="Inter" w:cs="Inter" w:eastAsia="Inter" w:hAnsi="Inter"/>
          <w:b w:val="0"/>
          <w:bCs w:val="0"/>
          <w:color w:val="000000"/>
          <w:rtl w:val="0"/>
        </w:rPr>
        <w:t xml:space="preserve">Progetto “tu che ne sAI? – L’Intelligenza Artificiale più sicura per tutti”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b w:val="0"/>
          <w:bCs w:val="0"/>
          <w:color w:val="000000"/>
        </w:rPr>
      </w:pPr>
      <w:bookmarkStart w:colFirst="0" w:colLast="0" w:name="_heading=h.x1eoi03dv8zb" w:id="2"/>
      <w:bookmarkEnd w:id="2"/>
      <w:r w:rsidDel="00000000" w:rsidR="00000000" w:rsidRPr="00000000">
        <w:rPr>
          <w:rFonts w:ascii="Inter" w:cs="Inter" w:eastAsia="Inter" w:hAnsi="Inter"/>
          <w:b w:val="0"/>
          <w:bCs w:val="0"/>
          <w:color w:val="000000"/>
          <w:rtl w:val="0"/>
        </w:rPr>
        <w:t xml:space="preserve">Figma – riferimento visivo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 layout della landing page è disponibile su Figma al seguente link: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👉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https://www.figma.com/proto/qoF7dRIC9DVgc7epeQLRVM/Tu-che-ne-sai----Landing-page?page-id=0%3A1&amp;node-id=2-21&amp;p=f&amp;m=dev&amp;scaling=min-zoom&amp;content-scaling=fixed&amp;starting-point-node-id=2%3A21&amp;t=MLLwaZnF51wA7ug1-1&amp;hide-ui=1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 file Figma rappresenta il riferimento principale per struttura, proporzioni, gerarchie visive e uso degli elementi grafici.</w:t>
        <w:br w:type="textWrapping"/>
        <w:t xml:space="preserve">Le presenti linee guida servono ad accompagnare l’implementazione, offrendo indicazioni pratiche e suggerimenti utili per adattare il design ai diversi contesti tecnici dei partner.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color w:val="000000"/>
        </w:rPr>
      </w:pPr>
      <w:bookmarkStart w:colFirst="0" w:colLast="0" w:name="_heading=h.i944kevk22dq" w:id="3"/>
      <w:bookmarkEnd w:id="3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1. Obiettivo delle linee guida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Queste linee guida nascono per facilitare il lavoro di chi implementa la landing page, garantendo allo stesso tempo una buona coerenza visiva e narrativa tra i diversi siti dei partner.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Non si tratta di regole rigide, ma di indicazioni condivise pensate per: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mantenere un’identità riconoscibile del progetto;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ridurre ambiguità in fase di sviluppo;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semplificare l’uso degli asset forniti;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aiutare l’adattamento su CMS e sistemi differenti.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b w:val="0"/>
          <w:bCs w:val="0"/>
          <w:color w:val="000000"/>
        </w:rPr>
      </w:pPr>
      <w:bookmarkStart w:colFirst="0" w:colLast="0" w:name="_heading=h.mdvpfx20dul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color w:val="000000"/>
        </w:rPr>
      </w:pPr>
      <w:bookmarkStart w:colFirst="0" w:colLast="0" w:name="_heading=h.v9jl00bbzqg1" w:id="5"/>
      <w:bookmarkEnd w:id="5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2. Approccio consigliato all’implementazione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Ogni partner può adottare le soluzioni tecniche più adatte al proprio sito, tenendo come riferimento: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struttura della pagina mostrata in Figma;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 testi forniti, pensati per essere chiari e accessibili;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gli asset grafici già suddivisi per sezione.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Sono naturalmente possibili: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adattamenti responsive;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piccoli aggiustamenti di spaziatura;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integrazioni con componenti già presenti nel sito del partner.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L’importante è mantenere lo spirito del layout e la gerarchia dei contenuti.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color w:val="000000"/>
        </w:rPr>
      </w:pPr>
      <w:bookmarkStart w:colFirst="0" w:colLast="0" w:name="_heading=h.7i0qr8loizm5" w:id="6"/>
      <w:bookmarkEnd w:id="6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3. Struttura della pagina (suggerita)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landing page è pensata come un percorso verticale che accompagna l’utente dalla presentazione del progetto alle azioni di approfondimento.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L’ordine consigliato delle sezioni è il seguente: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Hero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 progetto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Prossimo evento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Calendario delle iniziative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Materiali da scaricare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Infografiche e videopillole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Podcast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Media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Q&amp;A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Gaming – mappa Minecraft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Contattaci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Footer istituzionale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alcune sezioni non sono ancora attive, possono essere presentate in forma introduttiva o “in arrivo”.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color w:val="000000"/>
        </w:rPr>
      </w:pPr>
      <w:bookmarkStart w:colFirst="0" w:colLast="0" w:name="_heading=h.xq9933m73y3d" w:id="7"/>
      <w:bookmarkEnd w:id="7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4. Identità visiva: indicazioni pratiche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heading=h.hfs9158meeyw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Colori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palette del progetto è composta da tre colori principali: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Blu scuro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#0D3757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Usato come colore strutturale e di sfondo.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Arancione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#F99746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Usato per elementi di enfasi, icone e call to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Grigio chiaro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#EDEDED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Usato come sfondo neutro per sezioni di respiro.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Suggerimento: mantenere questi colori come riferimento principale aiuta a rendere il progetto immediatamente riconoscibile.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heading=h.b515ech7nveq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Tipografia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 font utilizzato nel design è Proxima Nova (Adobe Fonts).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Poiché non tutti i partner potrebbero avere accesso ad Adobe Fonts, è consigliato l’uso di un font sostitutivo simile, come Inter, mantenendo però la stessa gerarchia tipografica.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Gerarchia suggerita: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Hero: extrabold – 60px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Titoli di sezione: extrabold – 50px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Testi: regular – 16px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Titoletti (es. voci con icona): bold – 20px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 mobile le dimensioni possono essere ridotte, mantenendo però le proporzioni tra i livelli.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color w:val="000000"/>
        </w:rPr>
      </w:pPr>
      <w:bookmarkStart w:colFirst="0" w:colLast="0" w:name="_heading=h.nvnp9qbz2oei" w:id="10"/>
      <w:bookmarkEnd w:id="10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5. Asset grafici: come usarli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Gli asset sono organizzati per sezioni e pensati per essere ricomposti, non “incollati” come immagini uniche.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 particolare: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 icone sono fornite singolarmente e possono essere integrate come SVG;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gli elementi di sfondo (es. cerchio, freccia decorativa) hanno una funzione visiva e possono essere ricreati anche via CSS, se più comodo;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 immagini di preview servono solo come riferimento visivo.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Questo approccio permette maggiore flessibilità e una migliore resa responsive.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="276" w:lineRule="auto"/>
        <w:ind w:right="0"/>
        <w:rPr>
          <w:rFonts w:ascii="Inter" w:cs="Inter" w:eastAsia="Inter" w:hAnsi="Inter"/>
          <w:color w:val="000000"/>
        </w:rPr>
      </w:pPr>
      <w:bookmarkStart w:colFirst="0" w:colLast="0" w:name="_heading=h.3tnlxm10rd5r" w:id="11"/>
      <w:bookmarkEnd w:id="11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7. Accessibilità e usabilità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Nell’implementazione si consiglia di prestare attenzione a: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contrasto cromatico adeguato;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struttura semantica corretta (titoli, paragrafi, liste);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testi alternativi per immagini informative;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leggibilità su mobile.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Questi accorgimenti migliorano l’esperienza per tutti gli utenti e rafforzano la coerenza con i valori del progetto.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heading=h.e0xm05uzecdf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Nota finale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Queste linee guida vogliono essere uno strumento di supporto, non un vincolo rigido.</w:t>
        <w:br w:type="textWrapping"/>
        <w:t xml:space="preserve">L’obiettivo comune è rendere il progetto “tu che ne sAI?” riconoscibile, accessibile e utile per tutte le persone che lo incontreranno online.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705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Inter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Roboto Light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360" w:lineRule="auto"/>
      <w:ind w:right="-581.4566929133849"/>
      <w:rPr>
        <w:rFonts w:ascii="Roboto" w:cs="Roboto" w:eastAsia="Roboto" w:hAnsi="Roboto"/>
        <w:b w:val="1"/>
        <w:bCs w:val="1"/>
        <w:color w:val="cf2b31"/>
        <w:sz w:val="19"/>
        <w:szCs w:val="19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spacing w:line="360" w:lineRule="auto"/>
      <w:ind w:right="-581.4566929133849"/>
      <w:rPr>
        <w:rFonts w:ascii="Roboto" w:cs="Roboto" w:eastAsia="Roboto" w:hAnsi="Roboto"/>
        <w:b w:val="1"/>
        <w:bCs w:val="1"/>
        <w:color w:val="cf2b31"/>
        <w:sz w:val="19"/>
        <w:szCs w:val="19"/>
      </w:rPr>
    </w:pPr>
    <w:r w:rsidDel="00000000" w:rsidR="00000000" w:rsidRPr="00000000">
      <w:rPr>
        <w:rFonts w:ascii="Roboto" w:cs="Roboto" w:eastAsia="Roboto" w:hAnsi="Roboto"/>
        <w:b w:val="1"/>
        <w:bCs w:val="1"/>
        <w:color w:val="cf2b31"/>
        <w:sz w:val="19"/>
        <w:szCs w:val="19"/>
        <w:rtl w:val="0"/>
      </w:rPr>
      <w:t xml:space="preserve">Fondazione Openpolis ETS</w:t>
    </w:r>
  </w:p>
  <w:p w:rsidR="00000000" w:rsidDel="00000000" w:rsidP="00000000" w:rsidRDefault="00000000" w:rsidRPr="00000000" w14:paraId="0000005A">
    <w:pPr>
      <w:spacing w:line="360" w:lineRule="auto"/>
      <w:ind w:right="-723.188976377952"/>
      <w:rPr>
        <w:rFonts w:ascii="Roboto Medium" w:cs="Roboto Medium" w:eastAsia="Roboto Medium" w:hAnsi="Roboto Medium"/>
        <w:color w:val="3e3f3e"/>
        <w:sz w:val="20"/>
        <w:szCs w:val="20"/>
      </w:rPr>
    </w:pPr>
    <w:r w:rsidDel="00000000" w:rsidR="00000000" w:rsidRPr="00000000">
      <w:rPr>
        <w:rFonts w:ascii="Roboto Light" w:cs="Roboto Light" w:eastAsia="Roboto Light" w:hAnsi="Roboto Light"/>
        <w:sz w:val="19"/>
        <w:szCs w:val="19"/>
        <w:rtl w:val="0"/>
      </w:rPr>
      <w:t xml:space="preserve">Via Merulana, 19, 00185, Roma </w:t>
    </w: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 |   </w:t>
    </w:r>
    <w:r w:rsidDel="00000000" w:rsidR="00000000" w:rsidRPr="00000000">
      <w:rPr>
        <w:rFonts w:ascii="Roboto Light" w:cs="Roboto Light" w:eastAsia="Roboto Light" w:hAnsi="Roboto Light"/>
        <w:sz w:val="19"/>
        <w:szCs w:val="19"/>
        <w:rtl w:val="0"/>
      </w:rPr>
      <w:t xml:space="preserve">tel. 06 530 964 05  |  c.f. 97954040586  |  p.Iva 14588641002  |  fondazione@openpolis.it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>
        <w:rFonts w:ascii="Roboto Medium" w:cs="Roboto Medium" w:eastAsia="Roboto Medium" w:hAnsi="Roboto Medium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jc w:val="center"/>
      <w:rPr>
        <w:rFonts w:ascii="Roboto Light" w:cs="Roboto Light" w:eastAsia="Roboto Light" w:hAnsi="Roboto Light"/>
        <w:color w:val="6a6a6a"/>
        <w:sz w:val="20"/>
        <w:szCs w:val="20"/>
      </w:rPr>
    </w:pPr>
    <w:r w:rsidDel="00000000" w:rsidR="00000000" w:rsidRPr="00000000">
      <w:rPr>
        <w:rFonts w:ascii="Roboto Light" w:cs="Roboto Light" w:eastAsia="Roboto Light" w:hAnsi="Roboto Light"/>
        <w:color w:val="6a6a6a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jc w:val="center"/>
      <w:rPr>
        <w:rFonts w:ascii="Roboto Light" w:cs="Roboto Light" w:eastAsia="Roboto Light" w:hAnsi="Roboto Light"/>
        <w:color w:val="6a6a6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right="-720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ind w:right="-720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488648" cy="30003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8648" cy="3000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ind w:right="-720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ind w:right="-72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  <w:ind w:right="-585"/>
    </w:pPr>
    <w:rPr>
      <w:rFonts w:ascii="Roboto" w:cs="Roboto" w:eastAsia="Roboto" w:hAnsi="Roboto"/>
      <w:b w:val="1"/>
      <w:bCs w:val="1"/>
      <w:color w:val="3e3f3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  <w:ind w:right="-585"/>
    </w:pPr>
    <w:rPr>
      <w:rFonts w:ascii="Roboto" w:cs="Roboto" w:eastAsia="Roboto" w:hAnsi="Roboto"/>
      <w:b w:val="1"/>
      <w:bCs w:val="1"/>
      <w:color w:val="3e3f3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360" w:lineRule="auto"/>
      <w:ind w:right="-585"/>
    </w:pPr>
    <w:rPr>
      <w:rFonts w:ascii="Roboto" w:cs="Roboto" w:eastAsia="Roboto" w:hAnsi="Roboto"/>
      <w:b w:val="1"/>
      <w:bCs w:val="1"/>
      <w:color w:val="3e3f3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Roboto Slab" w:cs="Roboto Slab" w:eastAsia="Roboto Slab" w:hAnsi="Roboto Slab"/>
      <w:b w:val="1"/>
      <w:bCs w:val="1"/>
      <w:color w:val="434343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="360" w:lineRule="auto"/>
    </w:pPr>
    <w:rPr>
      <w:rFonts w:ascii="Roboto Slab" w:cs="Roboto Slab" w:eastAsia="Roboto Slab" w:hAnsi="Roboto Slab"/>
      <w:b w:val="1"/>
      <w:bCs w:val="1"/>
      <w:color w:val="434343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proto/qoF7dRIC9DVgc7epeQLRVM/Tu-che-ne-sai----Landing-page?page-id=0%3A1&amp;node-id=2-21&amp;p=f&amp;m=dev&amp;scaling=min-zoom&amp;content-scaling=fixed&amp;starting-point-node-id=2%3A21&amp;t=MLLwaZnF51wA7ug1-1&amp;hide-ui=1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regular.ttf"/><Relationship Id="rId10" Type="http://schemas.openxmlformats.org/officeDocument/2006/relationships/font" Target="fonts/RobotoMedium-boldItalic.ttf"/><Relationship Id="rId13" Type="http://schemas.openxmlformats.org/officeDocument/2006/relationships/font" Target="fonts/Inter-italic.ttf"/><Relationship Id="rId12" Type="http://schemas.openxmlformats.org/officeDocument/2006/relationships/font" Target="fonts/Inter-bold.ttf"/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RobotoMedium-italic.ttf"/><Relationship Id="rId15" Type="http://schemas.openxmlformats.org/officeDocument/2006/relationships/font" Target="fonts/RobotoLight-regular.ttf"/><Relationship Id="rId14" Type="http://schemas.openxmlformats.org/officeDocument/2006/relationships/font" Target="fonts/Inter-boldItalic.ttf"/><Relationship Id="rId17" Type="http://schemas.openxmlformats.org/officeDocument/2006/relationships/font" Target="fonts/RobotoLight-italic.ttf"/><Relationship Id="rId16" Type="http://schemas.openxmlformats.org/officeDocument/2006/relationships/font" Target="fonts/RobotoLight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18" Type="http://schemas.openxmlformats.org/officeDocument/2006/relationships/font" Target="fonts/RobotoLight-boldItalic.ttf"/><Relationship Id="rId7" Type="http://schemas.openxmlformats.org/officeDocument/2006/relationships/font" Target="fonts/RobotoMedium-regular.ttf"/><Relationship Id="rId8" Type="http://schemas.openxmlformats.org/officeDocument/2006/relationships/font" Target="fonts/Roboto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bEzZ9OvF4PI96gGL8ivaijlHw==">CgMxLjAyDmgucjdpZzVzYmd4NjQyMg5oLnR5c2JhNzIwb25lZzIOaC54MWVvaTAzZHY4emIyDmguaTk0NGtldmsyMmRxMg5oLm1kdnBmeDIwZHVsZDIOaC52OWpsMDBiYnpxZzEyDmguN2kwcXI4bG9pem01Mg5oLnhxOTkzM203M3kzZDIOaC5oZnM5MTU4bWVleXcyDmguYjUxNWVjaDdudmVxMg5oLm52bnA5cWJ6Mm9laTIOaC4zdG5seG0xMHJkNXIyDmguZTB4bTA1dXplY2RmOAByITFhbjUzS21MYWd4WnQ4LUZEdmV5N0psekpfZFBPcWlM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