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color w:val="595959"/>
          <w:sz w:val="19"/>
        </w:rPr>
        <w:t>BỘ PHẬN KẾ TOÁN TÀI CHÍNH &amp; GIÁ THÀNH</w:t>
        <w:br/>
        <w:t>DỰ ÁN HỆ THỐNG KẾ TOÁN DOANH NGHIỆP</w:t>
      </w:r>
    </w:p>
    <w:p>
      <w:pPr>
        <w:spacing w:before="240" w:after="80"/>
        <w:jc w:val="center"/>
      </w:pPr>
      <w:r>
        <w:rPr>
          <w:rFonts w:ascii="Times New Roman" w:hAnsi="Times New Roman"/>
          <w:b/>
          <w:color w:val="002060"/>
          <w:sz w:val="30"/>
        </w:rPr>
        <w:t>HƯỚNG DẪN NGHIỆP VỤ HẠCH TOÁN &amp; CÀI ĐẶT TRÊN MISA AMIS</w:t>
      </w:r>
    </w:p>
    <w:p>
      <w:pPr>
        <w:spacing w:after="360"/>
        <w:jc w:val="center"/>
      </w:pPr>
      <w:r>
        <w:rPr>
          <w:rFonts w:ascii="Times New Roman" w:hAnsi="Times New Roman"/>
          <w:i/>
          <w:color w:val="333333"/>
          <w:sz w:val="22"/>
        </w:rPr>
        <w:t>Chủ đề: Xử lý Chi phí Giấy nhám &amp; Máy thổi hơi phát sinh sau khi chốt kỳ tính giá thành (Thông tư 133/2016/TT-BTC)</w:t>
      </w:r>
    </w:p>
    <w:p>
      <w:pPr>
        <w:spacing w:after="240"/>
        <w:jc w:val="center"/>
      </w:pPr>
      <w:r>
        <w:rPr>
          <w:color w:val="1F4E79"/>
        </w:rPr>
        <w:t>――――――――――――――――――――――――――――――――――――――――――――――――――――――――――</w:t>
      </w:r>
    </w:p>
    <w:p>
      <w:pPr>
        <w:spacing w:before="200" w:after="120"/>
      </w:pPr>
      <w:r>
        <w:rPr>
          <w:rFonts w:ascii="Times New Roman" w:hAnsi="Times New Roman"/>
          <w:b/>
          <w:color w:val="1F4E79"/>
          <w:sz w:val="24"/>
        </w:rPr>
        <w:t>1. CÂU TRẢ LỜI TRỰC DIỆN CHO CÂU HỎI CỦA BẠN</w:t>
      </w:r>
    </w:p>
    <w:p>
      <w:pPr>
        <w:spacing w:after="120" w:line="288" w:lineRule="auto"/>
      </w:pPr>
      <w:r>
        <w:rPr>
          <w:b/>
        </w:rPr>
        <w:t xml:space="preserve">• Về mặt Tài khoản kế toán (Nợ/Có): </w:t>
      </w:r>
      <w:r>
        <w:rPr>
          <w:b/>
        </w:rPr>
        <w:t>BẠN ĐỊNH KHOẢN HOÀN TOÀN ĐÚNG!</w:t>
        <w:br/>
      </w:r>
      <w:r>
        <w:t xml:space="preserve">   + Giấy chà nhám: Hạch toán </w:t>
      </w:r>
      <w:r>
        <w:rPr>
          <w:b/>
        </w:rPr>
        <w:t>Nợ TK 6421 / Có TK 152</w:t>
        <w:br/>
      </w:r>
      <w:r>
        <w:t xml:space="preserve">   + Máy thổi hơi (phân bổ 1 lần): Hạch toán </w:t>
      </w:r>
      <w:r>
        <w:rPr>
          <w:b/>
        </w:rPr>
        <w:t>Nợ TK 6421 / Có TK 153</w:t>
      </w:r>
      <w:r>
        <w:t xml:space="preserve"> (hoặc qua TK 242 nếu muốn theo dõi phân bổ, nhưng phân bổ 1 lần thì đưa thẳng vào 6421 là chuẩn).</w:t>
      </w:r>
    </w:p>
    <w:p>
      <w:pPr>
        <w:spacing w:after="200" w:line="288" w:lineRule="auto"/>
      </w:pPr>
      <w:r>
        <w:rPr>
          <w:b/>
        </w:rPr>
        <w:t xml:space="preserve">• Về việc gắn Khoản mục chi phí (KMCP) trên MISA: </w:t>
      </w:r>
      <w:r>
        <w:rPr>
          <w:b/>
        </w:rPr>
        <w:t xml:space="preserve">TUYỆT ĐỐI KHÔNG GẮN MÃ </w:t>
      </w:r>
      <w:r>
        <w:rPr>
          <w:b/>
          <w:color w:val="C00000"/>
        </w:rPr>
        <w:t>sxc.vl</w:t>
      </w:r>
      <w:r>
        <w:t xml:space="preserve"> HAY </w:t>
      </w:r>
      <w:r>
        <w:rPr>
          <w:b/>
          <w:color w:val="C00000"/>
        </w:rPr>
        <w:t>sxc.dcsx</w:t>
      </w:r>
      <w:r>
        <w:t xml:space="preserve"> VÀO TÀI KHOẢN 6421!</w:t>
      </w:r>
    </w:p>
    <w:tbl>
      <w:tblPr>
        <w:tblW w:type="auto" w:w="0"/>
        <w:jc w:val="center"/>
        <w:tblLayout w:type="fixed"/>
        <w:tblLook w:firstColumn="1" w:firstRow="1" w:lastColumn="0" w:lastRow="0" w:noHBand="0" w:noVBand="1" w:val="04A0"/>
      </w:tblPr>
      <w:tblGrid>
        <w:gridCol w:w="9360"/>
      </w:tblGrid>
      <w:tr>
        <w:tc>
          <w:tcPr>
            <w:tcW w:type="dxa" w:w="9360"/>
            <w:shd w:val="clear" w:color="auto" w:fill="F2F4F8"/>
            <w:tcMar>
              <w:top w:w="140" w:type="dxa"/>
              <w:bottom w:w="140" w:type="dxa"/>
              <w:left w:w="200" w:type="dxa"/>
              <w:right w:w="200" w:type="dxa"/>
            </w:tcMar>
            <w:tcBorders>
              <w:left w:val="single" w:sz="24" w:space="0" w:color="1F4E79"/>
              <w:top w:val="none"/>
              <w:bottom w:val="none"/>
              <w:right w:val="none"/>
            </w:tcBorders>
          </w:tcPr>
          <w:p>
            <w:pPr>
              <w:spacing w:before="40" w:after="80"/>
            </w:pPr>
            <w:r>
              <w:rPr>
                <w:rFonts w:ascii="Times New Roman" w:hAnsi="Times New Roman"/>
                <w:b/>
                <w:color w:val="1F4E79"/>
                <w:sz w:val="22"/>
              </w:rPr>
              <w:t>⚠️ NGUYÊN TẮC QUAN TRỌNG TRÊN PHẦN MỀM MISA AMIS</w:t>
              <w:br/>
            </w:r>
            <w:r>
              <w:rPr>
                <w:rFonts w:ascii="Times New Roman" w:hAnsi="Times New Roman"/>
                <w:i w:val="0"/>
                <w:sz w:val="21"/>
              </w:rPr>
              <w:t>Trên phần mềm MISA AMIS / MISA SME, các mã chi phí có tiền tố 'sxc.*' (như sxc.vl, sxc.dcsx, sxc.khtscd, nvl, nctt) được thiết kế RIÊNG CHO PHÂN HỆ GIÁ THÀNH (tập hợp lên TK 154 theo TT133 hoặc TK 621, 622, 627 theo TT200).</w:t>
              <w:br/>
              <w:br/>
              <w:t>Nếu bạn chọn Nợ TK 6421 (Chi phí bán hàng) mà lại chọn Khoản mục chi phí là 'sxc.vl' hoặc 'sxc.dcsx':</w:t>
              <w:br/>
              <w:t>1. MISA sẽ cảnh báo mâu thuẫn logic: Chi phí bán hàng lại mang tính chất Sản xuất chung.</w:t>
              <w:br/>
              <w:t>2. Báo cáo kiểm tra đối chiếu chứng từ sổ sách cuối kỳ của MISA sẽ báo lỗi cảnh báo lệch phân hệ.</w:t>
              <w:br/>
              <w:t>3. Khi bạn tính giá thành kỳ sau, phần mềm có thể hiểu nhầm hoặc gom nhầm chi phí không đúng quy tắc.</w:t>
            </w:r>
          </w:p>
        </w:tc>
      </w:tr>
    </w:tbl>
    <w:p>
      <w:pPr>
        <w:spacing w:before="280" w:after="120"/>
      </w:pPr>
      <w:r>
        <w:rPr>
          <w:rFonts w:ascii="Times New Roman" w:hAnsi="Times New Roman"/>
          <w:b/>
          <w:color w:val="1F4E79"/>
          <w:sz w:val="24"/>
        </w:rPr>
        <w:t>2. CÁCH GẮN KHOẢN MỤC CHI PHÍ (KMCP) CHUẨN XÁC TRÊN MISA AMIS</w:t>
      </w:r>
    </w:p>
    <w:p>
      <w:r>
        <w:t>Tùy thuộc vào việc bạn lựa chọn phương án hạch toán nào, cách khai báo trường Khoản mục chi phí trên chứng từ xuất kho của MISA sẽ được thực hiện như sau:</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F4E79"/>
            <w:tcMar>
              <w:top w:w="100" w:type="dxa"/>
              <w:bottom w:w="100" w:type="dxa"/>
              <w:left w:w="100" w:type="dxa"/>
              <w:right w:w="100" w:type="dxa"/>
            </w:tcMar>
            <w:tcBorders>
              <w:top w:val="single" w:sz="4" w:color="D9D9D9"/>
              <w:left w:val="single" w:sz="4" w:color="D9D9D9"/>
              <w:bottom w:val="single" w:sz="4" w:color="D9D9D9"/>
              <w:right w:val="single" w:sz="4" w:color="D9D9D9"/>
            </w:tcBorders>
          </w:tcPr>
          <w:p>
            <w:pPr>
              <w:jc w:val="center"/>
            </w:pPr>
            <w:r>
              <w:rPr>
                <w:rFonts w:ascii="Times New Roman" w:hAnsi="Times New Roman"/>
                <w:b/>
                <w:color w:val="FFFFFF"/>
                <w:sz w:val="19"/>
              </w:rPr>
              <w:t>Phương án</w:t>
            </w:r>
          </w:p>
        </w:tc>
        <w:tc>
          <w:tcPr>
            <w:tcW w:type="dxa" w:w="1584"/>
            <w:shd w:val="clear" w:color="auto" w:fill="1F4E79"/>
            <w:tcMar>
              <w:top w:w="100" w:type="dxa"/>
              <w:bottom w:w="100" w:type="dxa"/>
              <w:left w:w="100" w:type="dxa"/>
              <w:right w:w="100" w:type="dxa"/>
            </w:tcMar>
            <w:tcBorders>
              <w:top w:val="single" w:sz="4" w:color="D9D9D9"/>
              <w:left w:val="single" w:sz="4" w:color="D9D9D9"/>
              <w:bottom w:val="single" w:sz="4" w:color="D9D9D9"/>
              <w:right w:val="single" w:sz="4" w:color="D9D9D9"/>
            </w:tcBorders>
          </w:tcPr>
          <w:p>
            <w:pPr>
              <w:jc w:val="center"/>
            </w:pPr>
            <w:r>
              <w:rPr>
                <w:rFonts w:ascii="Times New Roman" w:hAnsi="Times New Roman"/>
                <w:b/>
                <w:color w:val="FFFFFF"/>
                <w:sz w:val="19"/>
              </w:rPr>
              <w:t>Tài khoản</w:t>
            </w:r>
          </w:p>
        </w:tc>
        <w:tc>
          <w:tcPr>
            <w:tcW w:type="dxa" w:w="2016"/>
            <w:shd w:val="clear" w:color="auto" w:fill="1F4E79"/>
            <w:tcMar>
              <w:top w:w="100" w:type="dxa"/>
              <w:bottom w:w="100" w:type="dxa"/>
              <w:left w:w="100" w:type="dxa"/>
              <w:right w:w="100" w:type="dxa"/>
            </w:tcMar>
            <w:tcBorders>
              <w:top w:val="single" w:sz="4" w:color="D9D9D9"/>
              <w:left w:val="single" w:sz="4" w:color="D9D9D9"/>
              <w:bottom w:val="single" w:sz="4" w:color="D9D9D9"/>
              <w:right w:val="single" w:sz="4" w:color="D9D9D9"/>
            </w:tcBorders>
          </w:tcPr>
          <w:p>
            <w:pPr>
              <w:jc w:val="center"/>
            </w:pPr>
            <w:r>
              <w:rPr>
                <w:rFonts w:ascii="Times New Roman" w:hAnsi="Times New Roman"/>
                <w:b/>
                <w:color w:val="FFFFFF"/>
                <w:sz w:val="19"/>
              </w:rPr>
              <w:t>Vật tư xuất</w:t>
            </w:r>
          </w:p>
        </w:tc>
        <w:tc>
          <w:tcPr>
            <w:tcW w:type="dxa" w:w="2016"/>
            <w:shd w:val="clear" w:color="auto" w:fill="1F4E79"/>
            <w:tcMar>
              <w:top w:w="100" w:type="dxa"/>
              <w:bottom w:w="100" w:type="dxa"/>
              <w:left w:w="100" w:type="dxa"/>
              <w:right w:w="100" w:type="dxa"/>
            </w:tcMar>
            <w:tcBorders>
              <w:top w:val="single" w:sz="4" w:color="D9D9D9"/>
              <w:left w:val="single" w:sz="4" w:color="D9D9D9"/>
              <w:bottom w:val="single" w:sz="4" w:color="D9D9D9"/>
              <w:right w:val="single" w:sz="4" w:color="D9D9D9"/>
            </w:tcBorders>
          </w:tcPr>
          <w:p>
            <w:pPr>
              <w:jc w:val="center"/>
            </w:pPr>
            <w:r>
              <w:rPr>
                <w:rFonts w:ascii="Times New Roman" w:hAnsi="Times New Roman"/>
                <w:b/>
                <w:color w:val="FFFFFF"/>
                <w:sz w:val="19"/>
              </w:rPr>
              <w:t>Khoản mục CP trên MISA</w:t>
            </w:r>
          </w:p>
        </w:tc>
        <w:tc>
          <w:tcPr>
            <w:tcW w:type="dxa" w:w="2016"/>
            <w:shd w:val="clear" w:color="auto" w:fill="1F4E79"/>
            <w:tcMar>
              <w:top w:w="100" w:type="dxa"/>
              <w:bottom w:w="100" w:type="dxa"/>
              <w:left w:w="100" w:type="dxa"/>
              <w:right w:w="100" w:type="dxa"/>
            </w:tcMar>
            <w:tcBorders>
              <w:top w:val="single" w:sz="4" w:color="D9D9D9"/>
              <w:left w:val="single" w:sz="4" w:color="D9D9D9"/>
              <w:bottom w:val="single" w:sz="4" w:color="D9D9D9"/>
              <w:right w:val="single" w:sz="4" w:color="D9D9D9"/>
            </w:tcBorders>
          </w:tcPr>
          <w:p>
            <w:pPr>
              <w:jc w:val="center"/>
            </w:pPr>
            <w:r>
              <w:rPr>
                <w:rFonts w:ascii="Times New Roman" w:hAnsi="Times New Roman"/>
                <w:b/>
                <w:color w:val="FFFFFF"/>
                <w:sz w:val="19"/>
              </w:rPr>
              <w:t>Ghi chú &amp; Tác động</w:t>
            </w:r>
          </w:p>
        </w:tc>
      </w:tr>
      <w:tr>
        <w:tc>
          <w:tcPr>
            <w:tcW w:type="dxa" w:w="1728"/>
            <w:shd w:val="clear" w:color="auto"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Cách 1 (Khuyên dùng):</w:t>
              <w:br/>
              <w:t>Đưa vào Chi phí bán hàng</w:t>
            </w:r>
          </w:p>
        </w:tc>
        <w:tc>
          <w:tcPr>
            <w:tcW w:type="dxa" w:w="1584"/>
            <w:shd w:val="clear" w:color="auto"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Nợ 6421</w:t>
              <w:br/>
              <w:t>Có 152 / 153</w:t>
            </w:r>
          </w:p>
        </w:tc>
        <w:tc>
          <w:tcPr>
            <w:tcW w:type="dxa" w:w="2016"/>
            <w:shd w:val="clear" w:color="auto"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 Giấy nhám (152)</w:t>
              <w:br/>
              <w:t>• Máy thổi bụi (153)</w:t>
            </w:r>
          </w:p>
        </w:tc>
        <w:tc>
          <w:tcPr>
            <w:tcW w:type="dxa" w:w="2016"/>
            <w:shd w:val="clear" w:color="auto"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Chọn mã thuộc nhóm CPBH:</w:t>
              <w:br/>
              <w:t>• cpbh.vl (Vật liệu BH)</w:t>
              <w:br/>
              <w:t>• cpbh.dc (Dụng cụ BH)</w:t>
              <w:br/>
              <w:t>(Hoặc ĐỂ TRỐNG cột KMCP)</w:t>
            </w:r>
          </w:p>
        </w:tc>
        <w:tc>
          <w:tcPr>
            <w:tcW w:type="dxa" w:w="2016"/>
            <w:shd w:val="clear" w:color="auto" w:fill="FFFFFF"/>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 Không ảnh hưởng giá thành đã chốt.</w:t>
              <w:br/>
              <w:t>• Phản ánh chi phí tân trang, vệ sinh hàng trước khi giao.</w:t>
              <w:br/>
              <w:t>• Thuế chấp nhận 100%.</w:t>
            </w:r>
          </w:p>
        </w:tc>
      </w:tr>
      <w:tr>
        <w:tc>
          <w:tcPr>
            <w:tcW w:type="dxa" w:w="1728"/>
            <w:shd w:val="clear" w:color="auto" w:fill="F9FAFC"/>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Cách 2:</w:t>
              <w:br/>
              <w:t>Giữ lại Sản xuất để tính cho lô sau</w:t>
            </w:r>
          </w:p>
        </w:tc>
        <w:tc>
          <w:tcPr>
            <w:tcW w:type="dxa" w:w="1584"/>
            <w:shd w:val="clear" w:color="auto" w:fill="F9FAFC"/>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Nợ 154 (1547)</w:t>
              <w:br/>
              <w:t>Có 152 / 153</w:t>
            </w:r>
          </w:p>
        </w:tc>
        <w:tc>
          <w:tcPr>
            <w:tcW w:type="dxa" w:w="2016"/>
            <w:shd w:val="clear" w:color="auto" w:fill="F9FAFC"/>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 Giấy nhám (152)</w:t>
              <w:br/>
              <w:t>• Máy thổi bụi (153)</w:t>
            </w:r>
          </w:p>
        </w:tc>
        <w:tc>
          <w:tcPr>
            <w:tcW w:type="dxa" w:w="2016"/>
            <w:shd w:val="clear" w:color="auto" w:fill="F9FAFC"/>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BẮT BUỘC gắn mã SXC:</w:t>
              <w:br/>
              <w:t>• sxc.vl (Giấy nhám)</w:t>
              <w:br/>
              <w:t>• sxc.dcsx (Máy thổi hơi)</w:t>
              <w:br/>
              <w:t>(Gắn kèm Đối tượng THCP)</w:t>
            </w:r>
          </w:p>
        </w:tc>
        <w:tc>
          <w:tcPr>
            <w:tcW w:type="dxa" w:w="2016"/>
            <w:shd w:val="clear" w:color="auto" w:fill="F9FAFC"/>
            <w:tcMar>
              <w:top w:w="80" w:type="dxa"/>
              <w:bottom w:w="80" w:type="dxa"/>
              <w:left w:w="80" w:type="dxa"/>
              <w:right w:w="80" w:type="dxa"/>
            </w:tcMar>
            <w:tcBorders>
              <w:top w:val="single" w:sz="4" w:color="D9D9D9"/>
              <w:left w:val="single" w:sz="4" w:color="D9D9D9"/>
              <w:bottom w:val="single" w:sz="4" w:color="D9D9D9"/>
              <w:right w:val="single" w:sz="4" w:color="D9D9D9"/>
            </w:tcBorders>
          </w:tcPr>
          <w:p>
            <w:r>
              <w:rPr>
                <w:rFonts w:ascii="Times New Roman" w:hAnsi="Times New Roman"/>
                <w:sz w:val="18"/>
              </w:rPr>
              <w:t>• Chi phí này treo ở Dở dang cuối kỳ (D_ck) trên TK 154.</w:t>
              <w:br/>
              <w:t>• Chuyển sang tính vào giá thành của lô Thành phẩm A tiếp theo.</w:t>
            </w:r>
          </w:p>
        </w:tc>
      </w:tr>
    </w:tbl>
    <w:p>
      <w:pPr>
        <w:spacing w:before="280" w:after="120"/>
      </w:pPr>
      <w:r>
        <w:rPr>
          <w:rFonts w:ascii="Times New Roman" w:hAnsi="Times New Roman"/>
          <w:b/>
          <w:color w:val="1F4E79"/>
          <w:sz w:val="24"/>
        </w:rPr>
        <w:t>3. CĂN CỨ PHÁP LÝ QUY ĐỊNH (HIỆU LỰC PHÁP LUẬT HIỆN HÀNH)</w:t>
      </w:r>
    </w:p>
    <w:p>
      <w:pPr>
        <w:spacing w:after="80" w:line="276" w:lineRule="auto"/>
      </w:pPr>
      <w:r>
        <w:rPr>
          <w:b/>
        </w:rPr>
        <w:t>a) Căn cứ Điều 63 Thông tư 133/2016/TT-BTC (Tài khoản 642 - Chi phí quản lý kinh doanh):</w:t>
        <w:br/>
      </w:r>
      <w:r>
        <w:t>• Theo Khoản 1 Điều 63, Tài khoản 6421 (Chi phí bán hàng) dùng để phản ánh các chi phí thực tế phát sinh trong quá trình bán sản phẩm, hàng hóa, cung cấp dịch vụ, bao gồm: chi phí bảo quản, bao gói, vận chuyển, tân trang làm sạch sản phẩm trước khi giao bán cho khách hàng.</w:t>
        <w:br/>
        <w:t>• Do đó, chi phí giấy nhám chà bóng và máy thổi bụi để làm sạch sản phẩm hoàn thành chuẩn bị xuất giao được hạch toán vào TK 6421 là hoàn toàn phù hợp quy định.</w:t>
      </w:r>
    </w:p>
    <w:p>
      <w:pPr>
        <w:spacing w:after="80" w:line="276" w:lineRule="auto"/>
      </w:pPr>
      <w:r>
        <w:rPr>
          <w:b/>
        </w:rPr>
        <w:t>b) Căn cứ Điều 21 Thông tư 133/2016/TT-BTC (Tài khoản 153 - Công cụ, dụng cụ):</w:t>
        <w:br/>
      </w:r>
      <w:r>
        <w:t>• Đối với công cụ, dụng cụ có giá trị nhỏ hoặc thời gian sử dụng ngắn (như máy thổi hơi cầm tay mini phân bổ 1 lần), kế toán được phép hạch toán toàn bộ giá trị vào chi phí sản xuất kinh doanh một lần ngay khi xuất dùng: Nợ TK 6421 / Có TK 153.</w:t>
      </w:r>
    </w:p>
    <w:p>
      <w:pPr>
        <w:spacing w:after="160" w:line="276" w:lineRule="auto"/>
      </w:pPr>
      <w:r>
        <w:rPr>
          <w:b/>
        </w:rPr>
        <w:t>c) Căn cứ Điều 62 Thông tư 133/2016/TT-BTC (Tài khoản 632 - Giá vốn hàng bán):</w:t>
        <w:br/>
      </w:r>
      <w:r>
        <w:t>• Khoản 1 Điều 62 quy định rõ: TK 632 chỉ phản ánh giá vốn của sản phẩm, hàng hóa ĐÃ BÁN trong kỳ. Vì thành phẩm A vẫn đang nằm trong kho chờ bán, chưa phát sinh doanh thu, nên KHÔNG ĐƯỢC đưa thẳng vào TK 632.</w:t>
      </w:r>
    </w:p>
    <w:p>
      <w:pPr>
        <w:spacing w:before="240" w:after="120"/>
      </w:pPr>
      <w:r>
        <w:rPr>
          <w:rFonts w:ascii="Times New Roman" w:hAnsi="Times New Roman"/>
          <w:b/>
          <w:color w:val="1F4E79"/>
          <w:sz w:val="24"/>
        </w:rPr>
        <w:t>4. HƯỚNG DẪN THAO TÁC TỪNG BƯỚC TRÊN MISA AMIS</w:t>
      </w:r>
    </w:p>
    <w:p>
      <w:pPr>
        <w:spacing w:after="80"/>
        <w:ind w:left="288"/>
      </w:pPr>
      <w:r>
        <w:rPr>
          <w:b/>
          <w:color w:val="1F4E79"/>
        </w:rPr>
        <w:t xml:space="preserve">• Bước 1: </w:t>
      </w:r>
      <w:r>
        <w:t>Vào phân hệ Kho -&gt; Chọn tab 'Xuất kho' -&gt; Bấm 'Thêm'.</w:t>
      </w:r>
    </w:p>
    <w:p>
      <w:pPr>
        <w:spacing w:after="80"/>
        <w:ind w:left="288"/>
      </w:pPr>
      <w:r>
        <w:rPr>
          <w:b/>
          <w:color w:val="1F4E79"/>
        </w:rPr>
        <w:t xml:space="preserve">• Bước 2: </w:t>
      </w:r>
      <w:r>
        <w:t>Chọn loại xuất kho: 'Khác (Sử dụng nội bộ, bán hàng,...) '.</w:t>
      </w:r>
    </w:p>
    <w:p>
      <w:pPr>
        <w:spacing w:after="80"/>
        <w:ind w:left="288"/>
      </w:pPr>
      <w:r>
        <w:rPr>
          <w:b/>
          <w:color w:val="1F4E79"/>
        </w:rPr>
        <w:t xml:space="preserve">• Bước 3: </w:t>
      </w:r>
      <w:r>
        <w:t>Tại tab 'Hàng tiền':</w:t>
        <w:br/>
        <w:t xml:space="preserve">  • Dòng 1: Chọn mã Giấy nhám (152) -&gt; TK Nợ: gõ 6421, TK Có: 152.</w:t>
        <w:br/>
        <w:t xml:space="preserve">  • Dòng 2: Chọn mã Máy thổi hơi (153) -&gt; TK Nợ: gõ 6421, TK Có: 153.</w:t>
      </w:r>
    </w:p>
    <w:p>
      <w:pPr>
        <w:spacing w:after="80"/>
        <w:ind w:left="288"/>
      </w:pPr>
      <w:r>
        <w:rPr>
          <w:b/>
          <w:color w:val="1F4E79"/>
        </w:rPr>
        <w:t xml:space="preserve">• Bước 4: </w:t>
      </w:r>
      <w:r>
        <w:t>Kéo sang cột 'Khoản mục chi phí' (KMCP):</w:t>
        <w:br/>
        <w:t xml:space="preserve">  • Tuyệt đối KHÔNG chọn sxc.vl hay sxc.dcsx.</w:t>
        <w:br/>
        <w:t xml:space="preserve">  • Bạn chọn mã: cpbh.vl / cpbh.dc (hoặc để trống ô KMCP).</w:t>
        <w:br/>
        <w:t xml:space="preserve">  • Cột 'Đối tượng THCP': ĐỂ TRỐNG (vì đây là chi phí bán hàng, không phải đối tượng tính giá thành).</w:t>
      </w:r>
    </w:p>
    <w:p>
      <w:pPr>
        <w:spacing w:after="80"/>
        <w:ind w:left="288"/>
      </w:pPr>
      <w:r>
        <w:rPr>
          <w:b/>
          <w:color w:val="1F4E79"/>
        </w:rPr>
        <w:t xml:space="preserve">• Bước 5: </w:t>
      </w:r>
      <w:r>
        <w:t>Kiểm tra lại số tiền -&gt; Bấm 'Cất' hoàn thành chứng từ.</w:t>
      </w:r>
    </w:p>
    <w:p>
      <w:pPr>
        <w:spacing w:before="400"/>
        <w:jc w:val="right"/>
      </w:pPr>
      <w:r>
        <w:rPr>
          <w:rFonts w:ascii="Times New Roman" w:hAnsi="Times New Roman"/>
          <w:i/>
          <w:color w:val="7F7F7F"/>
          <w:sz w:val="18"/>
        </w:rPr>
        <w:t>Tài liệu hướng dẫn được lập tự động bởi Trợ lý Kế toán AI</w:t>
        <w:br/>
        <w:t>Lưu trữ tại: F:\Accountant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