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9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duoc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9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sz w:val="24"/>
        </w:rPr>
        <w:t xml:space="preserve"> </w:t>
      </w:r>
    </w:p>
    <w:p>
      <w:pPr>
        <w:spacing w:after="0" w:before="0"/>
      </w:pPr>
      <w:r>
        <w:rPr>
          <w:sz w:val="24"/>
        </w:rPr>
        <w:t xml:space="preserve"> </w:t>
      </w:r>
    </w:p>
    <w:p>
      <w:pPr>
        <w:spacing w:after="0" w:before="0"/>
      </w:pPr>
      <w:r>
        <w:rPr>
          <w:sz w:val="24"/>
        </w:rPr>
        <w:t xml:space="preserve"> </w:t>
      </w:r>
    </w:p>
    <w:p>
      <w:pPr>
        <w:jc w:val="center"/>
      </w:pPr>
      <w:r>
        <w:rPr>
          <w:b/>
          <w:color w:val="1F4E79"/>
          <w:sz w:val="32"/>
        </w:rPr>
        <w:t>INFORME</w:t>
      </w:r>
    </w:p>
    <w:p>
      <w:pPr>
        <w:spacing w:after="0" w:before="0"/>
      </w:pPr>
      <w:r>
        <w:rPr>
          <w:sz w:val="12"/>
        </w:rPr>
        <w:t xml:space="preserve"> </w:t>
      </w:r>
    </w:p>
    <w:p>
      <w:pPr>
        <w:jc w:val="center"/>
      </w:pPr>
      <w:r>
        <w:rPr>
          <w:b/>
          <w:color w:val="1F4E79"/>
          <w:sz w:val="36"/>
        </w:rPr>
        <w:t>IMPLEMENTACIÓN DE OBSERVABILIDAD EN UN AGENTE DE IA</w:t>
      </w:r>
    </w:p>
    <w:p>
      <w:pPr>
        <w:jc w:val="center"/>
      </w:pPr>
      <w:r>
        <w:rPr>
          <w:i/>
          <w:sz w:val="22"/>
        </w:rPr>
        <w:t>Agente Portuario EPV — Asistente RAG de normativas del Puerto de Valparaíso</w:t>
      </w:r>
    </w:p>
    <w:p>
      <w:pPr>
        <w:spacing w:after="0" w:before="0"/>
      </w:pPr>
      <w:r>
        <w:rPr>
          <w:sz w:val="24"/>
        </w:rPr>
        <w:t xml:space="preserve"> </w:t>
      </w:r>
    </w:p>
    <w:p>
      <w:pPr>
        <w:spacing w:after="0" w:before="0"/>
      </w:pPr>
      <w:r>
        <w:rPr>
          <w:sz w:val="24"/>
        </w:rPr>
        <w:t xml:space="preserve"> </w:t>
      </w:r>
    </w:p>
    <w:p>
      <w:pPr>
        <w:spacing w:after="0" w:before="0"/>
      </w:pPr>
      <w:r>
        <w:rPr>
          <w:sz w:val="24"/>
        </w:rPr>
        <w:t xml:space="preserve"> </w:t>
      </w:r>
    </w:p>
    <w:p>
      <w:pPr>
        <w:spacing w:after="0" w:before="0"/>
      </w:pPr>
      <w:r>
        <w:rPr>
          <w:sz w:val="24"/>
        </w:rPr>
        <w:t xml:space="preserve"> </w:t>
      </w:r>
    </w:p>
    <w:p>
      <w:pPr>
        <w:spacing w:after="0" w:before="0"/>
      </w:pPr>
      <w:r>
        <w:rPr>
          <w:sz w:val="24"/>
        </w:rPr>
        <w:t xml:space="preserve"> </w:t>
      </w:r>
    </w:p>
    <w:p>
      <w:pPr>
        <w:spacing w:after="0" w:before="0"/>
      </w:pPr>
      <w:r>
        <w:rPr>
          <w:sz w:val="24"/>
        </w:rPr>
        <w:t xml:space="preserve"> </w:t>
      </w:r>
    </w:p>
    <w:p>
      <w:pPr>
        <w:spacing w:after="0" w:before="0"/>
      </w:pPr>
      <w:r>
        <w:rPr>
          <w:sz w:val="24"/>
        </w:rPr>
        <w:t xml:space="preserve"> </w:t>
      </w:r>
    </w:p>
    <w:p>
      <w:pPr>
        <w:spacing w:after="0" w:before="0"/>
      </w:pPr>
      <w:r>
        <w:rPr>
          <w:sz w:val="24"/>
        </w:rPr>
        <w:t xml:space="preserve"> </w:t>
      </w:r>
    </w:p>
    <w:p>
      <w:pPr>
        <w:spacing w:after="60"/>
        <w:jc w:val="center"/>
      </w:pPr>
      <w:r>
        <w:rPr>
          <w:b/>
          <w:sz w:val="24"/>
        </w:rPr>
        <w:t xml:space="preserve">Alumnos: </w:t>
      </w:r>
      <w:r>
        <w:rPr>
          <w:sz w:val="24"/>
        </w:rPr>
        <w:t>Benjamín Aravena   ·   Francisco Gómez</w:t>
      </w:r>
    </w:p>
    <w:p>
      <w:pPr>
        <w:spacing w:after="60"/>
        <w:jc w:val="center"/>
      </w:pPr>
      <w:r>
        <w:rPr>
          <w:b/>
          <w:sz w:val="24"/>
        </w:rPr>
        <w:t xml:space="preserve">Profesor: </w:t>
      </w:r>
      <w:r>
        <w:rPr>
          <w:sz w:val="24"/>
        </w:rPr>
        <w:t>Roberto Eduardo Vega Araneda</w:t>
      </w:r>
    </w:p>
    <w:p>
      <w:pPr>
        <w:spacing w:after="60"/>
        <w:jc w:val="center"/>
      </w:pPr>
      <w:r>
        <w:rPr>
          <w:b/>
          <w:sz w:val="24"/>
        </w:rPr>
        <w:t xml:space="preserve">Asignatura: </w:t>
      </w:r>
      <w:r>
        <w:rPr>
          <w:sz w:val="24"/>
        </w:rPr>
        <w:t>ISY0101 — Ingeniería de Soluciones con IA</w:t>
      </w:r>
    </w:p>
    <w:p>
      <w:pPr>
        <w:spacing w:after="0" w:before="0"/>
      </w:pPr>
      <w:r>
        <w:rPr>
          <w:sz w:val="24"/>
        </w:rPr>
        <w:t xml:space="preserve"> </w:t>
      </w:r>
    </w:p>
    <w:p>
      <w:pPr>
        <w:spacing w:after="0" w:before="0"/>
      </w:pPr>
      <w:r>
        <w:rPr>
          <w:sz w:val="24"/>
        </w:rPr>
        <w:t xml:space="preserve"> </w:t>
      </w:r>
    </w:p>
    <w:p>
      <w:pPr>
        <w:spacing w:after="0" w:before="0"/>
      </w:pPr>
      <w:r>
        <w:rPr>
          <w:sz w:val="24"/>
        </w:rPr>
        <w:t xml:space="preserve"> </w:t>
      </w:r>
    </w:p>
    <w:p>
      <w:pPr>
        <w:jc w:val="center"/>
      </w:pPr>
      <w:r>
        <w:rPr>
          <w:sz w:val="24"/>
        </w:rPr>
        <w:t>01 de julio de 2026</w:t>
      </w:r>
    </w:p>
    <w:p>
      <w:r>
        <w:br w:type="page"/>
      </w:r>
    </w:p>
    <w:p>
      <w:pPr>
        <w:spacing w:after="120"/>
      </w:pPr>
      <w:r>
        <w:rPr>
          <w:i/>
          <w:color w:val="556573"/>
          <w:sz w:val="17"/>
        </w:rPr>
        <w:t>RA3 — Observabilidad, Seguridad y Ética en Agentes de IA · Evaluación Parcial N°3 (35%) · Repositorio: github.com/PhamNukz/Ingenier-a-de-Soluciones-con-Inteligencia-Artificial (módulo EP3_observabilidad)</w:t>
      </w:r>
    </w:p>
    <w:p>
      <w:r>
        <w:rPr>
          <w:b/>
          <w:color w:val="1F4E79"/>
          <w:sz w:val="26"/>
        </w:rPr>
        <w:t>1. Introducción y objetivo</w:t>
      </w:r>
    </w:p>
    <w:p>
      <w:pPr>
        <w:spacing w:after="80"/>
      </w:pPr>
      <w:r>
        <w:rPr>
          <w:i w:val="0"/>
          <w:sz w:val="20"/>
        </w:rPr>
        <w:t>El sistema observado es el Agente Portuario EPV (EP2): un agente ReAct construido con LangChain que combina Recuperación Aumentada por Generación (RAG) sobre una base vectorial ChromaDB con el modelo gpt-4o-mini (servido vía GitHub Models) y cuatro herramientas: consulta de normativas internas, evaluación de cumplimiento, generación de reportes y búsqueda externa en Wikipedia. El objetivo de esta evaluación es instrumentar el agente con observabilidad para medir su precisión, latencia, consistencia, frecuencia de errores y uso de recursos; analizar sus trazas de ejecución para detectar cuellos de botella y patrones de falla; visualizar el comportamiento en un dashboard; e integrar controles de seguridad y uso responsable, proponiendo finalmente recomendaciones de optimización fundamentadas en datos.</w:t>
      </w:r>
    </w:p>
    <w:p>
      <w:r>
        <w:rPr>
          <w:b/>
          <w:color w:val="1F4E79"/>
          <w:sz w:val="26"/>
        </w:rPr>
        <w:t>2. Arquitectura de instrumentación (IE1, IE2)</w:t>
      </w:r>
    </w:p>
    <w:p>
      <w:pPr>
        <w:spacing w:after="80"/>
      </w:pPr>
      <w:r>
        <w:rPr>
          <w:i w:val="0"/>
          <w:sz w:val="20"/>
        </w:rPr>
        <w:t>Se diseñó una capa de observabilidad que envuelve al agente sin modificar su código. Un wrapper (medir_consulta) orquesta, por cada consulta: (a) controles de seguridad; (b) un retrieval instrumentado que replica la configuración de EP2 (mismos embeddings MiniLM multilingüe, misma base, k=4) capturando las distancias de ChromaDB; y (c) la ejecución del agente con un callback handler de LangChain que captura automáticamente el uso de tokens y la latencia de cada llamada al LLM dentro del bucle ReAct. Cada consulta produce un registro JSON estructurado (un objeto por línea, formato JSON Lines) que habilita la trazabilidad y alimenta el análisis y el dashboard.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18"/>
              </w:rPr>
              <w:t>Métrica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Qué se mide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Fuente / técnica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Precisión/Relevancia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Score de similitud de los chunks (1/(1+distancia))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Distancias de ChromaDB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Latencia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Total y desglose embedding → retrieval → LLM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perf_counter + callback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Consistencia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Variación de respuesta/tokens al repetir la consulta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N=5 repeticiones por query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Frecuencia de errores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Timeouts, errores de API, respuestas vacías, bloqueos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Excepciones + callback on_llm_error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Uso de recursos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Tokens prompt+completion y nº de chunks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token_usage del LLM</w:t>
            </w:r>
          </w:p>
        </w:tc>
      </w:tr>
    </w:tbl>
    <w:p>
      <w:r>
        <w:rPr>
          <w:b/>
          <w:color w:val="1F4E79"/>
          <w:sz w:val="26"/>
        </w:rPr>
        <w:t>3. Metodología y dataset (IE3)</w:t>
      </w:r>
    </w:p>
    <w:p>
      <w:pPr>
        <w:spacing w:after="80"/>
      </w:pPr>
      <w:r>
        <w:rPr>
          <w:i w:val="0"/>
          <w:sz w:val="20"/>
        </w:rPr>
        <w:t>Se construyó un dataset de 28 consultas variadas con 14 casos límite, distribuidas en cuatro categorías: en-dominio (14), ambiguas (5), fuera-dominio (5) y adversariales (4). Las consultas marcadas para consistencia se ejecutaron 5 veces. En total se registraron 36 ejecuciones (20 exitosas, 16 con error). Las preguntas ambiguas y fuera-de-dominio estresan la cobertura del corpus; las adversariales prueban la capa de seguridad frente a inyección de prompts.</w:t>
      </w:r>
    </w:p>
    <w:p>
      <w:r>
        <w:rPr>
          <w:b/>
          <w:color w:val="1F4E79"/>
          <w:sz w:val="26"/>
        </w:rPr>
        <w:t>4. Resultados y análisis (IE1–IE4)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Latencia media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12.512 s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Latencia p95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33.704 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Latencia mediana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9.257 s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Latencia p99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51.61 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Tokens medios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9254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Tokens máx.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21873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Tasa error global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44.4 %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Tasa error API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33.3 %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Bloqueos seguridad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Pasos promedio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1.2</w:t>
            </w:r>
          </w:p>
        </w:tc>
      </w:tr>
    </w:tbl>
    <w:p>
      <w:pPr>
        <w:spacing w:after="80"/>
      </w:pPr>
      <w:r>
        <w:rPr>
          <w:b/>
          <w:i w:val="0"/>
          <w:sz w:val="21"/>
        </w:rPr>
        <w:t>4.1 Latencia y cuello de botella (IE2)</w:t>
      </w:r>
    </w:p>
    <w:p>
      <w:pPr>
        <w:spacing w:after="80"/>
      </w:pPr>
      <w:r>
        <w:rPr>
          <w:i w:val="0"/>
          <w:sz w:val="20"/>
        </w:rPr>
        <w:t>El desglose por fase muestra que la generación con el LLM concentra el 99.6% del tiempo (10.065 s en promedio), frente a un 0.0% del retrieval (0.0047 s) y un 0.3% del embedding (0.0309 s). El cuello de botella es inequívocamente el LLM: optimizar el RAG aportaría una mejora marginal. La brecha entre la mediana (9.257 s) y el p95 (33.704 s, p99 51.61 s) la explican las consultas con más pasos ReAct (más llamadas al LLM) y los fallos de API.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9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sglose_latenc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56573"/>
          <w:sz w:val="17"/>
        </w:rPr>
        <w:t>Figura 1. Desglose de latencia promedio por fase del pipeline RAG.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tencia_tempor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56573"/>
          <w:sz w:val="17"/>
        </w:rPr>
        <w:t>Figura 2. Latencia total por consulta con líneas de media y p95.</w:t>
      </w:r>
    </w:p>
    <w:p>
      <w:pPr>
        <w:spacing w:after="80"/>
      </w:pPr>
      <w:r>
        <w:rPr>
          <w:b/>
          <w:i w:val="0"/>
          <w:sz w:val="21"/>
        </w:rPr>
        <w:t>4.2 Uso de recursos / tokens (IE2)</w:t>
      </w:r>
    </w:p>
    <w:p>
      <w:pPr>
        <w:spacing w:after="80"/>
      </w:pPr>
      <w:r>
        <w:rPr>
          <w:i w:val="0"/>
          <w:sz w:val="20"/>
        </w:rPr>
        <w:t>El consumo promedio es de 9254 tokens por consulta (8884 de prompt y 370 de completion), con una razón prompt:completion de 24.0:1. El prompt domina el costo porque el formato ReAct reinyecta el scratchpad (razonamiento + observaciones) en cada paso, y crece con el número de pasos. Nota: GitHub Models no siempre devuelve token_usage, por lo que 20 consultas se contabilizaron con un respaldo local (tiktoken), garantizando cobertura completa de la métrica.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185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istribucion_toke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8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56573"/>
          <w:sz w:val="17"/>
        </w:rPr>
        <w:t>Figura 3. Distribución de tokens por consulta y promedio prompt vs. completion.</w:t>
      </w:r>
    </w:p>
    <w:p>
      <w:pPr>
        <w:spacing w:after="80"/>
      </w:pPr>
      <w:r>
        <w:rPr>
          <w:b/>
          <w:i w:val="0"/>
          <w:sz w:val="21"/>
        </w:rPr>
        <w:t>4.3 Precisión/relevancia y errores (IE1, IE4)</w:t>
      </w:r>
    </w:p>
    <w:p>
      <w:pPr>
        <w:spacing w:after="80"/>
      </w:pPr>
      <w:r>
        <w:rPr>
          <w:i w:val="0"/>
          <w:sz w:val="20"/>
        </w:rPr>
        <w:t>El score de similitud (derivado de la distancia L2 de ChromaDB, por lo que lo relevante es la separación relativa y no el valor absoluto) distingue las categorías: en-dominio promedia 0.076 frente a 0.039 en fuera-dominio (~1.9× más relevante). Esta brecha es un patrón accionable (IE4): un umbral de relevancia en torno a 0.057 permitiría detectar consultas no cubiertas por el corpus y activar un fallback en lugar de responder con contexto irrelevante. En cuanto a errores, la tasa de fallos de API real es del 33.3% (12 de 36 ejecuciones, propios del nivel gratuito de GitHub Models); adicionalmente se bloquearon 4 consultas adversariales en la capa de seguridad.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26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imilitud_catego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56573"/>
          <w:sz w:val="17"/>
        </w:rPr>
        <w:t>Figura 4. Score de similitud (top-1) por categoría de consulta.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604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asa_error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6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56573"/>
          <w:sz w:val="17"/>
        </w:rPr>
        <w:t>Figura 5. Tasa de error global y distribución por tipo (API vs. seguridad).</w:t>
      </w:r>
    </w:p>
    <w:p>
      <w:pPr>
        <w:spacing w:after="80"/>
      </w:pPr>
      <w:r>
        <w:rPr>
          <w:b/>
          <w:i w:val="0"/>
          <w:sz w:val="21"/>
        </w:rPr>
        <w:t>4.4 Hallazgos clave (IE3, IE4)</w:t>
      </w:r>
    </w:p>
    <w:p>
      <w:pPr>
        <w:pStyle w:val="ListBullet"/>
        <w:spacing w:after="60"/>
      </w:pPr>
      <w:r>
        <w:rPr>
          <w:sz w:val="19"/>
        </w:rPr>
        <w:t>CUELLO DE BOTELLA: la generación con el LLM concentra el 99.6% del tiempo total. El retrieval (embedding+búsqueda) es marginal (0.0%). La optimización de desempeño debe enfocarse en el LLM, no en el RAG.</w:t>
      </w:r>
    </w:p>
    <w:p>
      <w:pPr>
        <w:pStyle w:val="ListBullet"/>
        <w:spacing w:after="60"/>
      </w:pPr>
      <w:r>
        <w:rPr>
          <w:sz w:val="19"/>
        </w:rPr>
        <w:t>PATRÓN DE RELEVANCIA: la similitud media en-dominio (0.076) es ~1.9× la de fuera-dominio (0.039). Lo relevante es la separación relativa, no el valor absoluto (el score deriva de la distancia L2 de ChromaDB). La brecha valida un umbral de rechazo/fallback en torno a 0.057 para descartar consultas no cubiertas por el corpus.</w:t>
      </w:r>
    </w:p>
    <w:p>
      <w:pPr>
        <w:pStyle w:val="ListBullet"/>
        <w:spacing w:after="60"/>
      </w:pPr>
      <w:r>
        <w:rPr>
          <w:sz w:val="19"/>
        </w:rPr>
        <w:t>ANOMALÍA DE LATENCIA (cola larga): el p95 (33.704s) triplica la mediana (9.257s) y el p99 llega a 51.61s. La cola la explican las consultas con más pasos ReAct (más llamadas al LLM) y los 12 fallos de API ({'excepcion:APIStatusError': 2, 'rate_limit_api': 10}). Es el objetivo prioritario para reintentos y timeouts.</w:t>
      </w:r>
    </w:p>
    <w:p>
      <w:pPr>
        <w:pStyle w:val="ListBullet"/>
        <w:spacing w:after="60"/>
      </w:pPr>
      <w:r>
        <w:rPr>
          <w:sz w:val="19"/>
        </w:rPr>
        <w:t>SEGURIDAD: se bloquearon 4 consultas adversariales (prompt injection / extracción de credenciales) antes de llegar al agente, sin consumir tokens. La capa de seguridad (IE6) opera correctamente.</w:t>
      </w:r>
    </w:p>
    <w:p>
      <w:pPr>
        <w:pStyle w:val="ListBullet"/>
        <w:spacing w:after="60"/>
      </w:pPr>
      <w:r>
        <w:rPr>
          <w:sz w:val="19"/>
        </w:rPr>
        <w:t>CONSISTENCIA: ante la misma consulta repetida, la longitud de respuesta varía hasta un 0.1% (CV) en las corridas exitosas, mientras los chunks recuperados se mantienen estables (embeddings deterministas). La variabilidad proviene del LLM (temperature&gt;0), no del retrieval.</w:t>
      </w:r>
    </w:p>
    <w:p>
      <w:r>
        <w:rPr>
          <w:b/>
          <w:color w:val="1F4E79"/>
          <w:sz w:val="26"/>
        </w:rPr>
        <w:t>5. Seguridad y uso responsable (IE6)</w:t>
      </w:r>
    </w:p>
    <w:p>
      <w:pPr>
        <w:spacing w:after="80"/>
      </w:pPr>
      <w:r>
        <w:rPr>
          <w:i w:val="0"/>
          <w:sz w:val="20"/>
        </w:rPr>
        <w:t>Se integraron controles de seguridad y uso responsable en el diseño: (1) sanitización de inputs y detección de prompt injection mediante patrones, alineada al OWASP Top 10 for LLM Applications (LLM01); (2) gestión de la API key exclusivamente por variable de entorno (.env fuera del control de versiones); (3) anonimización de datos personales (RUT, correo, teléfono) antes de escribir los logs, en línea con la Ley N° 19.628 sobre protección de la vida privada en Chile; (4) truncado de la consulta registrada para minimizar datos; y (5) rate limiting por ventana deslizante para proteger la cuota de la API y mitigar abuso. Las consultas adversariales del dataset fueron bloqueadas antes de alcanzar el agente, sin consumir tokens. Desde una perspectiva ética y normativa, el agente opera sobre normativa portuaria sensible: la observabilidad debe equilibrar trazabilidad con privacidad, evitando registrar información operacional o personal identificable de los trabajadores del puerto.</w:t>
      </w:r>
    </w:p>
    <w:p>
      <w:r>
        <w:rPr>
          <w:b/>
          <w:color w:val="1F4E79"/>
          <w:sz w:val="26"/>
        </w:rPr>
        <w:t>6. Recomendaciones de optimización (IE7)</w:t>
      </w:r>
    </w:p>
    <w:p>
      <w:pPr>
        <w:pStyle w:val="ListNumber"/>
        <w:spacing w:after="60"/>
      </w:pPr>
      <w:r>
        <w:rPr>
          <w:b/>
          <w:sz w:val="19"/>
        </w:rPr>
        <w:t xml:space="preserve">Reducir la latencia y el costo del LLM (cuello de botella). </w:t>
      </w:r>
      <w:r>
        <w:rPr>
          <w:sz w:val="19"/>
        </w:rPr>
        <w:t>Acotar max_iterations y la longitud del scratchpad ReAct, activar streaming para mejorar la latencia percibida, y cachear respuestas a consultas frecuentes. Evaluar una ruta directa (sin ReAct) para preguntas simples de una sola herramienta.</w:t>
      </w:r>
    </w:p>
    <w:p>
      <w:pPr>
        <w:pStyle w:val="ListNumber"/>
        <w:spacing w:after="60"/>
      </w:pPr>
      <w:r>
        <w:rPr>
          <w:b/>
          <w:sz w:val="19"/>
        </w:rPr>
        <w:t xml:space="preserve">Umbral de relevancia con fallback. </w:t>
      </w:r>
      <w:r>
        <w:rPr>
          <w:sz w:val="19"/>
        </w:rPr>
        <w:t>Si el score top-1 &lt; 0.45, responder explícitamente que la consulta está fuera del corpus o derivar a la búsqueda externa, evitando alucinaciones sobre contexto irrelevante.</w:t>
      </w:r>
    </w:p>
    <w:p>
      <w:pPr>
        <w:pStyle w:val="ListNumber"/>
        <w:spacing w:after="60"/>
      </w:pPr>
      <w:r>
        <w:rPr>
          <w:b/>
          <w:sz w:val="19"/>
        </w:rPr>
        <w:t xml:space="preserve">Resiliencia ante errores de API. </w:t>
      </w:r>
      <w:r>
        <w:rPr>
          <w:sz w:val="19"/>
        </w:rPr>
        <w:t>Implementar reintentos con backoff exponencial y timeouts configurables para los errores 429/503 y los timeouts que inflan el p95; degradar de forma elegante.</w:t>
      </w:r>
    </w:p>
    <w:p>
      <w:pPr>
        <w:pStyle w:val="ListNumber"/>
        <w:spacing w:after="60"/>
      </w:pPr>
      <w:r>
        <w:rPr>
          <w:b/>
          <w:sz w:val="19"/>
        </w:rPr>
        <w:t xml:space="preserve">Estabilizar la consistencia. </w:t>
      </w:r>
      <w:r>
        <w:rPr>
          <w:sz w:val="19"/>
        </w:rPr>
        <w:t>Bajar la temperature para consultas normativas (donde se busca determinismo) y fijar las respuestas a incidentes para reducir la variabilidad observada entre repeticiones.</w:t>
      </w:r>
    </w:p>
    <w:p>
      <w:pPr>
        <w:pStyle w:val="ListNumber"/>
        <w:spacing w:after="60"/>
      </w:pPr>
      <w:r>
        <w:rPr>
          <w:b/>
          <w:sz w:val="19"/>
        </w:rPr>
        <w:t xml:space="preserve">Escalabilidad y sostenibilidad. </w:t>
      </w:r>
      <w:r>
        <w:rPr>
          <w:sz w:val="19"/>
        </w:rPr>
        <w:t>Exportar las métricas a un backend de observabilidad (p. ej. Grafana/Prometheus o LangSmith) y definir alertas sobre p95 de latencia, tasa de error y consumo de tokens para operación en producción.</w:t>
      </w:r>
    </w:p>
    <w:p>
      <w:r>
        <w:rPr>
          <w:b/>
          <w:color w:val="1F4E79"/>
          <w:sz w:val="26"/>
        </w:rPr>
        <w:t>7. Conclusiones</w:t>
      </w:r>
    </w:p>
    <w:p>
      <w:pPr>
        <w:spacing w:after="80"/>
      </w:pPr>
      <w:r>
        <w:rPr>
          <w:i w:val="0"/>
          <w:sz w:val="20"/>
        </w:rPr>
        <w:t>La instrumentación permitió observar de punta a punta el comportamiento del agente y tomar decisiones basadas en datos. El análisis identificó al LLM como el cuello de botella dominante de latencia y costo, mostró que el score de similitud es una señal fiable para discriminar consultas fuera de dominio, y verificó que la capa de seguridad neutraliza intentos de prompt injection. Las recomendaciones propuestas apuntan a una solución más eficiente, robusta, segura y escalable, en línea con los objetivos de sostenibilidad del agente en producción.</w:t>
      </w:r>
    </w:p>
    <w:p>
      <w:r>
        <w:rPr>
          <w:b/>
          <w:color w:val="1F4E79"/>
          <w:sz w:val="26"/>
        </w:rPr>
        <w:t>8. Referencias (APA)</w:t>
      </w:r>
    </w:p>
    <w:p>
      <w:pPr>
        <w:spacing w:after="40"/>
        <w:ind w:left="340" w:hanging="340"/>
      </w:pPr>
      <w:r>
        <w:rPr>
          <w:sz w:val="17"/>
        </w:rPr>
        <w:t>Biblioteca del Congreso Nacional de Chile. (1999). Ley N° 19.628: Sobre protección de la vida privada. https://www.bcn.cl/leychile/navegar?idNorma=141599</w:t>
      </w:r>
    </w:p>
    <w:p>
      <w:pPr>
        <w:spacing w:after="40"/>
        <w:ind w:left="340" w:hanging="340"/>
      </w:pPr>
      <w:r>
        <w:rPr>
          <w:sz w:val="17"/>
        </w:rPr>
        <w:t>Chase, H. (2022). LangChain: Building applications with LLMs through composability [Software]. https://python.langchain.com</w:t>
      </w:r>
    </w:p>
    <w:p>
      <w:pPr>
        <w:spacing w:after="40"/>
        <w:ind w:left="340" w:hanging="340"/>
      </w:pPr>
      <w:r>
        <w:rPr>
          <w:sz w:val="17"/>
        </w:rPr>
        <w:t>Chroma. (2024). Chroma: The open-source embedding database. https://docs.trychroma.com</w:t>
      </w:r>
    </w:p>
    <w:p>
      <w:pPr>
        <w:spacing w:after="40"/>
        <w:ind w:left="340" w:hanging="340"/>
      </w:pPr>
      <w:r>
        <w:rPr>
          <w:sz w:val="17"/>
        </w:rPr>
        <w:t>Lewis, P., Perez, E., Piktus, A., Petroni, F., Karpukhin, V., Goyal, N., … Kiela, D. (2020). Retrieval-augmented generation for knowledge-intensive NLP tasks. Advances in Neural Information Processing Systems, 33, 9459–9474.</w:t>
      </w:r>
    </w:p>
    <w:p>
      <w:pPr>
        <w:spacing w:after="40"/>
        <w:ind w:left="340" w:hanging="340"/>
      </w:pPr>
      <w:r>
        <w:rPr>
          <w:sz w:val="17"/>
        </w:rPr>
        <w:t>OpenAI. (2024). GPT-4o mini: Advancing cost-efficient intelligence. https://openai.com</w:t>
      </w:r>
    </w:p>
    <w:p>
      <w:pPr>
        <w:spacing w:after="40"/>
        <w:ind w:left="340" w:hanging="340"/>
      </w:pPr>
      <w:r>
        <w:rPr>
          <w:sz w:val="17"/>
        </w:rPr>
        <w:t>OWASP Foundation. (2023). OWASP Top 10 for Large Language Model Applications. https://owasp.org/www-project-top-10-for-large-language-model-applications/</w:t>
      </w:r>
    </w:p>
    <w:p>
      <w:pPr>
        <w:spacing w:after="40"/>
        <w:ind w:left="340" w:hanging="340"/>
      </w:pPr>
      <w:r>
        <w:rPr>
          <w:sz w:val="17"/>
        </w:rPr>
        <w:t>Sridharan, C. (2018). Distributed systems observability: A guide to building robust systems. O'Reilly Media.</w:t>
      </w:r>
    </w:p>
    <w:p>
      <w:pPr>
        <w:spacing w:after="40"/>
        <w:ind w:left="340" w:hanging="340"/>
      </w:pPr>
      <w:r>
        <w:rPr>
          <w:sz w:val="17"/>
        </w:rPr>
        <w:t>Streamlit Inc. (2024). Streamlit documentation. https://docs.streamlit.io</w:t>
      </w:r>
    </w:p>
    <w:p>
      <w:pPr>
        <w:spacing w:after="40"/>
        <w:ind w:left="340" w:hanging="340"/>
      </w:pPr>
      <w:r>
        <w:rPr>
          <w:sz w:val="17"/>
        </w:rPr>
        <w:t>Yao, S., Zhao, J., Yu, D., Du, N., Shafran, I., Narasimhan, K., &amp; Cao, Y. (2023). ReAct: Synergizing reasoning and acting in language models. International Conference on Learning Representations (ICLR).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