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Mẫu số 02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UY BAN NHÂN DÂN XÃ...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DANH SÁCH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b/>
          <w:sz w:val="24"/>
        </w:rPr>
        <w:t>Công nhận người có uy tín trong vùng đồng bào dân tộc thiểu số</w:t>
      </w:r>
    </w:p>
    <w:p>
      <w:pPr>
        <w:spacing w:before="20" w:after="80" w:line="276" w:lineRule="auto"/>
        <w:jc w:val="center"/>
      </w:pPr>
      <w:r>
        <w:rPr>
          <w:rFonts w:ascii="Times New Roman" w:hAnsi="Times New Roman"/>
          <w:i/>
          <w:sz w:val="22"/>
        </w:rPr>
        <w:t>(Ban hành kèm theo Quyết định số /QĐ-UBND ngày tháng năm của Chủ tịch UBND xã.....)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85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TT</w:t>
            </w:r>
          </w:p>
        </w:tc>
        <w:tc>
          <w:tcPr>
            <w:tcW w:type="dxa" w:w="2922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 tên NCUT</w:t>
            </w:r>
          </w:p>
        </w:tc>
        <w:tc>
          <w:tcPr>
            <w:tcW w:type="dxa" w:w="5579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Số lượng NCUT (3=4+5)</w:t>
            </w:r>
          </w:p>
        </w:tc>
      </w:tr>
      <w:tr>
        <w:tc>
          <w:tcPr>
            <w:tcW w:type="dxa" w:w="858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(1)</w:t>
            </w:r>
          </w:p>
        </w:tc>
        <w:tc>
          <w:tcPr>
            <w:tcW w:type="dxa" w:w="2922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(2)</w:t>
            </w:r>
          </w:p>
        </w:tc>
        <w:tc>
          <w:tcPr>
            <w:tcW w:type="dxa" w:w="5579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(3)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sz w:val="22"/>
        </w:rPr>
        <w:t>Ghi chú: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Cột (8): Ghi cụ thể trình độ học vấn (Tiểu học, THCS, THPT)/trình độ chuyên môn (Trung cấp, Cao đẳng, Đại học.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sz w:val="24"/>
        </w:rPr>
        <w:t>- Từ Cột (9) đến cột (15): Ghi cụ thể thành phần của NCUT, vỉ dụ: Già làng, Trưởng thôn, Trưởng ban công tác mặt trận thôn, Bí thư Chi bộ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