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5F76" w14:textId="77777777" w:rsidR="00397D43" w:rsidRPr="005746C6" w:rsidRDefault="00000000">
      <w:pPr>
        <w:spacing w:before="360"/>
        <w:jc w:val="center"/>
        <w:rPr>
          <w:rFonts w:ascii="Times New Roman" w:hAnsi="Times New Roman" w:cs="Times New Roman"/>
          <w:sz w:val="26"/>
          <w:szCs w:val="26"/>
        </w:rPr>
      </w:pPr>
      <w:r w:rsidRPr="005746C6">
        <w:rPr>
          <w:rFonts w:ascii="Times New Roman" w:hAnsi="Times New Roman" w:cs="Times New Roman"/>
          <w:b/>
          <w:sz w:val="26"/>
          <w:szCs w:val="26"/>
        </w:rPr>
        <w:t>BÁO CÁO PHÂN TÍCH TÌNH HUỐNG</w:t>
      </w:r>
      <w:r w:rsidRPr="005746C6">
        <w:rPr>
          <w:rFonts w:ascii="Times New Roman" w:hAnsi="Times New Roman" w:cs="Times New Roman"/>
          <w:b/>
          <w:sz w:val="26"/>
          <w:szCs w:val="26"/>
        </w:rPr>
        <w:br/>
        <w:t>Tổ chức sự kiện ra mắt sản phẩm mới</w:t>
      </w:r>
    </w:p>
    <w:p w14:paraId="5DA70410" w14:textId="77777777" w:rsidR="00397D43" w:rsidRPr="005746C6" w:rsidRDefault="00000000">
      <w:pPr>
        <w:spacing w:after="280"/>
        <w:jc w:val="center"/>
        <w:rPr>
          <w:rFonts w:ascii="Times New Roman" w:hAnsi="Times New Roman" w:cs="Times New Roman"/>
          <w:sz w:val="26"/>
          <w:szCs w:val="26"/>
        </w:rPr>
      </w:pPr>
      <w:r w:rsidRPr="005746C6">
        <w:rPr>
          <w:rFonts w:ascii="Times New Roman" w:hAnsi="Times New Roman" w:cs="Times New Roman"/>
          <w:sz w:val="26"/>
          <w:szCs w:val="26"/>
        </w:rPr>
        <w:t>Môn/Bài: BTVN SS01</w:t>
      </w:r>
      <w:r w:rsidRPr="005746C6">
        <w:rPr>
          <w:rFonts w:ascii="Times New Roman" w:hAnsi="Times New Roman" w:cs="Times New Roman"/>
          <w:sz w:val="26"/>
          <w:szCs w:val="26"/>
        </w:rPr>
        <w:br/>
        <w:t>Vai trò phân tích: Sinh viên năm nhất ngành Công Nghệ Thông Tin</w:t>
      </w:r>
    </w:p>
    <w:p w14:paraId="6B53BD9D" w14:textId="77777777" w:rsidR="00397D43" w:rsidRPr="005746C6" w:rsidRDefault="00000000">
      <w:pPr>
        <w:pStyle w:val="Heading1"/>
        <w:spacing w:before="160" w:after="80"/>
        <w:rPr>
          <w:rFonts w:ascii="Times New Roman" w:hAnsi="Times New Roman" w:cs="Times New Roman"/>
          <w:color w:val="auto"/>
          <w:sz w:val="26"/>
          <w:szCs w:val="26"/>
        </w:rPr>
      </w:pPr>
      <w:r w:rsidRPr="005746C6">
        <w:rPr>
          <w:rFonts w:ascii="Times New Roman" w:eastAsia="Arial" w:hAnsi="Times New Roman" w:cs="Times New Roman"/>
          <w:color w:val="auto"/>
          <w:sz w:val="26"/>
          <w:szCs w:val="26"/>
        </w:rPr>
        <w:t>I. Phân tích hiện trạng hoạt động của nhóm</w:t>
      </w:r>
    </w:p>
    <w:p w14:paraId="069E2E25"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1.1. Phân biệt Group và Team</w:t>
      </w:r>
    </w:p>
    <w:p w14:paraId="7D5CE986"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Dựa vào tình huống, nhóm dự án hiện tại đang hoạt động thiên về hình thức Group hơn là Team. Group là tập hợp những cá nhân cùng tồn tại trong một nhóm nhưng chủ yếu làm phần việc riêng, ít phối hợp và chưa thật sự chịu trách nhiệm chung. Trong khi đó, Team đòi hỏi các thành viên có mục tiêu chung rõ ràng, phụ thuộc tích cực vào nhau, giao tiếp thường xuyên và cùng chịu trách nhiệm về kết quả cuối cùng.</w:t>
      </w:r>
    </w:p>
    <w:p w14:paraId="7077C0B3"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Hành vi thứ nhất chứng minh sự thiếu liên kết là Người phụ trách nội dung và Người thiết kế “làm việc riêng lẻ, ai làm xong phần người nấy và không cập nhật tiến độ cho nhau”. Đây là biểu hiện rõ của cách làm việc rời rạc, thiếu phối hợp liên chức năng giữa nội dung và thiết kế - hai phần vốn phải gắn chặt trong một chiến dịch truyền thông.</w:t>
      </w:r>
    </w:p>
    <w:p w14:paraId="3D287928"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Hành vi thứ hai là các thành viên tự ý đề xuất chi phí mà không báo cáo cho Người quản lý ngân sách. Điều này cho thấy nhóm chưa có quy trình chung, chưa tôn trọng vai trò của nhau và chưa đặt trách nhiệm tập thể lên trên sự tiện lợi cá nhân. Ngoài ra, Trưởng nhóm phân công công việc chồng chéo và né tránh tranh cãi cũng làm nhóm càng giống một Group bị quản lý lỏng lẻo hơn là một Team hiệu quả.</w:t>
      </w:r>
    </w:p>
    <w:p w14:paraId="54BCBD2F"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1.2. Ứng dụng mô hình Tuckman</w:t>
      </w:r>
    </w:p>
    <w:p w14:paraId="67B2A31E"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 xml:space="preserve">Theo mô hình Tuckman, nhóm thường phát triển qua năm giai đoạn: Forming, Storming, Norming, </w:t>
      </w:r>
      <w:proofErr w:type="gramStart"/>
      <w:r w:rsidRPr="005746C6">
        <w:rPr>
          <w:rFonts w:ascii="Times New Roman" w:hAnsi="Times New Roman" w:cs="Times New Roman"/>
          <w:sz w:val="26"/>
          <w:szCs w:val="26"/>
        </w:rPr>
        <w:t>Performing</w:t>
      </w:r>
      <w:proofErr w:type="gramEnd"/>
      <w:r w:rsidRPr="005746C6">
        <w:rPr>
          <w:rFonts w:ascii="Times New Roman" w:hAnsi="Times New Roman" w:cs="Times New Roman"/>
          <w:sz w:val="26"/>
          <w:szCs w:val="26"/>
        </w:rPr>
        <w:t xml:space="preserve"> và Adjourning. Trong tuần đầu tiên, nhóm đang ở giai đoạn Forming - hình thành. Dấu hiệu nhận biết là các thành viên “rất lịch sự, giữ ý” và “chủ yếu chờ đợi Trưởng nhóm phân công công việc”. Tâm lý chung lúc này là dè dặt, phụ thuộc vào người lãnh đạo và chưa dám thể hiện quan điểm thật sự.</w:t>
      </w:r>
    </w:p>
    <w:p w14:paraId="4B289714"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Bước sang tuần thứ ba, nhóm chuyển sang giai đoạn Storming - xung đột. Các thành viên bắt đầu bộc lộ khác biệt về cách làm việc, quyền hạn và quan điểm cá nhân. Dấu hiệu cụ thể gồm: tranh luận gay gắt giữa Người phụ trách nội dung và Người thiết kế; Người quản lý ngân sách phàn nàn vì thiếu kiểm soát chi phí; Người liên hệ đối tác áp đặt ý kiến; Trưởng nhóm im lặng, né tránh khi có mâu thuẫn. Nhóm chưa bước sang Norming vì chưa có quy tắc phối hợp ổn định, chưa thống nhất vai trò và chưa xây dựng được niềm tin. Nhóm cũng chưa thể đạt Performing vì tiến độ đang chậm trễ nghiêm trọng, hiệu quả làm việc thấp và trách nhiệm tập thể chưa hình thành.</w:t>
      </w:r>
    </w:p>
    <w:p w14:paraId="6F38CAA8" w14:textId="77777777" w:rsidR="00397D43" w:rsidRPr="005746C6" w:rsidRDefault="00000000">
      <w:pPr>
        <w:pStyle w:val="Heading1"/>
        <w:spacing w:before="160" w:after="80"/>
        <w:rPr>
          <w:rFonts w:ascii="Times New Roman" w:hAnsi="Times New Roman" w:cs="Times New Roman"/>
          <w:color w:val="auto"/>
          <w:sz w:val="26"/>
          <w:szCs w:val="26"/>
        </w:rPr>
      </w:pPr>
      <w:r w:rsidRPr="005746C6">
        <w:rPr>
          <w:rFonts w:ascii="Times New Roman" w:eastAsia="Arial" w:hAnsi="Times New Roman" w:cs="Times New Roman"/>
          <w:color w:val="auto"/>
          <w:sz w:val="26"/>
          <w:szCs w:val="26"/>
        </w:rPr>
        <w:t>II. Chẩn đoán nguyên nhân và hệ lụy</w:t>
      </w:r>
    </w:p>
    <w:p w14:paraId="70C37A8D"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2.1. Nhận diện các khó khăn phổ biến khi làm việc nhóm</w:t>
      </w:r>
    </w:p>
    <w:tbl>
      <w:tblPr>
        <w:tblStyle w:val="TableGrid"/>
        <w:tblW w:w="0" w:type="auto"/>
        <w:jc w:val="center"/>
        <w:tblLook w:val="04A0" w:firstRow="1" w:lastRow="0" w:firstColumn="1" w:lastColumn="0" w:noHBand="0" w:noVBand="1"/>
      </w:tblPr>
      <w:tblGrid>
        <w:gridCol w:w="3152"/>
        <w:gridCol w:w="3153"/>
        <w:gridCol w:w="3153"/>
      </w:tblGrid>
      <w:tr w:rsidR="00397D43" w:rsidRPr="005746C6" w14:paraId="5047EAEF" w14:textId="77777777" w:rsidTr="005746C6">
        <w:trPr>
          <w:jc w:val="center"/>
        </w:trPr>
        <w:tc>
          <w:tcPr>
            <w:tcW w:w="3156" w:type="dxa"/>
            <w:vAlign w:val="center"/>
          </w:tcPr>
          <w:p w14:paraId="1641663E" w14:textId="77777777" w:rsidR="00397D43" w:rsidRPr="005746C6" w:rsidRDefault="00000000" w:rsidP="005746C6">
            <w:pPr>
              <w:jc w:val="center"/>
              <w:rPr>
                <w:rFonts w:ascii="Times New Roman" w:hAnsi="Times New Roman" w:cs="Times New Roman"/>
                <w:sz w:val="26"/>
                <w:szCs w:val="26"/>
              </w:rPr>
            </w:pPr>
            <w:r w:rsidRPr="005746C6">
              <w:rPr>
                <w:rFonts w:ascii="Times New Roman" w:hAnsi="Times New Roman" w:cs="Times New Roman"/>
                <w:b/>
                <w:sz w:val="26"/>
                <w:szCs w:val="26"/>
              </w:rPr>
              <w:t>Vấn đề</w:t>
            </w:r>
          </w:p>
        </w:tc>
        <w:tc>
          <w:tcPr>
            <w:tcW w:w="3156" w:type="dxa"/>
            <w:vAlign w:val="center"/>
          </w:tcPr>
          <w:p w14:paraId="65FC051B" w14:textId="77777777" w:rsidR="00397D43" w:rsidRPr="005746C6" w:rsidRDefault="00000000" w:rsidP="005746C6">
            <w:pPr>
              <w:jc w:val="center"/>
              <w:rPr>
                <w:rFonts w:ascii="Times New Roman" w:hAnsi="Times New Roman" w:cs="Times New Roman"/>
                <w:sz w:val="26"/>
                <w:szCs w:val="26"/>
              </w:rPr>
            </w:pPr>
            <w:r w:rsidRPr="005746C6">
              <w:rPr>
                <w:rFonts w:ascii="Times New Roman" w:hAnsi="Times New Roman" w:cs="Times New Roman"/>
                <w:b/>
                <w:sz w:val="26"/>
                <w:szCs w:val="26"/>
              </w:rPr>
              <w:t>Nhân vật/hành vi vi phạm</w:t>
            </w:r>
          </w:p>
        </w:tc>
        <w:tc>
          <w:tcPr>
            <w:tcW w:w="3156" w:type="dxa"/>
            <w:vAlign w:val="center"/>
          </w:tcPr>
          <w:p w14:paraId="105CB993" w14:textId="77777777" w:rsidR="00397D43" w:rsidRPr="005746C6" w:rsidRDefault="00000000" w:rsidP="005746C6">
            <w:pPr>
              <w:jc w:val="center"/>
              <w:rPr>
                <w:rFonts w:ascii="Times New Roman" w:hAnsi="Times New Roman" w:cs="Times New Roman"/>
                <w:sz w:val="26"/>
                <w:szCs w:val="26"/>
              </w:rPr>
            </w:pPr>
            <w:r w:rsidRPr="005746C6">
              <w:rPr>
                <w:rFonts w:ascii="Times New Roman" w:hAnsi="Times New Roman" w:cs="Times New Roman"/>
                <w:b/>
                <w:sz w:val="26"/>
                <w:szCs w:val="26"/>
              </w:rPr>
              <w:t>Phân tích ngắn</w:t>
            </w:r>
          </w:p>
        </w:tc>
      </w:tr>
      <w:tr w:rsidR="00397D43" w:rsidRPr="005746C6" w14:paraId="6BBE05E7" w14:textId="77777777">
        <w:trPr>
          <w:jc w:val="center"/>
        </w:trPr>
        <w:tc>
          <w:tcPr>
            <w:tcW w:w="3156" w:type="dxa"/>
          </w:tcPr>
          <w:p w14:paraId="720CA4F1"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Giao tiếp kém</w:t>
            </w:r>
          </w:p>
        </w:tc>
        <w:tc>
          <w:tcPr>
            <w:tcW w:w="3156" w:type="dxa"/>
          </w:tcPr>
          <w:p w14:paraId="6A20B4BF"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 xml:space="preserve">Người nội dung và Người </w:t>
            </w:r>
            <w:r w:rsidRPr="005746C6">
              <w:rPr>
                <w:rFonts w:ascii="Times New Roman" w:hAnsi="Times New Roman" w:cs="Times New Roman"/>
                <w:sz w:val="26"/>
                <w:szCs w:val="26"/>
              </w:rPr>
              <w:lastRenderedPageBreak/>
              <w:t>thiết kế không cập nhật tiến độ cho nhau; chỉ tranh luận khi họp.</w:t>
            </w:r>
          </w:p>
        </w:tc>
        <w:tc>
          <w:tcPr>
            <w:tcW w:w="3156" w:type="dxa"/>
          </w:tcPr>
          <w:p w14:paraId="03C305B1"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lastRenderedPageBreak/>
              <w:t xml:space="preserve">Thông tin không được trao </w:t>
            </w:r>
            <w:r w:rsidRPr="005746C6">
              <w:rPr>
                <w:rFonts w:ascii="Times New Roman" w:hAnsi="Times New Roman" w:cs="Times New Roman"/>
                <w:sz w:val="26"/>
                <w:szCs w:val="26"/>
              </w:rPr>
              <w:lastRenderedPageBreak/>
              <w:t>đổi liên tục nên hai phần việc phụ thuộc nhau bị lệch hướng, dẫn đến hiểu sai yêu cầu.</w:t>
            </w:r>
          </w:p>
        </w:tc>
      </w:tr>
      <w:tr w:rsidR="00397D43" w:rsidRPr="005746C6" w14:paraId="30A3C6F1" w14:textId="77777777">
        <w:trPr>
          <w:jc w:val="center"/>
        </w:trPr>
        <w:tc>
          <w:tcPr>
            <w:tcW w:w="3156" w:type="dxa"/>
          </w:tcPr>
          <w:p w14:paraId="73F56E5E"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lastRenderedPageBreak/>
              <w:t>Thiếu mục tiêu và quy trình chung</w:t>
            </w:r>
          </w:p>
        </w:tc>
        <w:tc>
          <w:tcPr>
            <w:tcW w:w="3156" w:type="dxa"/>
          </w:tcPr>
          <w:p w14:paraId="29980B4E"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Trưởng nhóm không đưa ra mục tiêu cụ thể cho từng giai đoạn, phân công chồng chéo.</w:t>
            </w:r>
          </w:p>
        </w:tc>
        <w:tc>
          <w:tcPr>
            <w:tcW w:w="3156" w:type="dxa"/>
          </w:tcPr>
          <w:p w14:paraId="48F66C41"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Nhóm không biết ưu tiên việc nào trước, ai chịu trách nhiệm chính và tiêu chí hoàn thành là gì.</w:t>
            </w:r>
          </w:p>
        </w:tc>
      </w:tr>
      <w:tr w:rsidR="00397D43" w:rsidRPr="005746C6" w14:paraId="75BB1DC7" w14:textId="77777777">
        <w:trPr>
          <w:jc w:val="center"/>
        </w:trPr>
        <w:tc>
          <w:tcPr>
            <w:tcW w:w="3156" w:type="dxa"/>
          </w:tcPr>
          <w:p w14:paraId="1613D06A"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Cái tôi cá nhân quá lớn</w:t>
            </w:r>
          </w:p>
        </w:tc>
        <w:tc>
          <w:tcPr>
            <w:tcW w:w="3156" w:type="dxa"/>
          </w:tcPr>
          <w:p w14:paraId="112F2337"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Người liên hệ đối tác áp đặt cách làm của mình, gạt bỏ đề xuất của người khác.</w:t>
            </w:r>
          </w:p>
        </w:tc>
        <w:tc>
          <w:tcPr>
            <w:tcW w:w="3156" w:type="dxa"/>
          </w:tcPr>
          <w:p w14:paraId="5866AB01"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Thành viên này đặt ý kiến cá nhân cao hơn lợi ích chung, làm giảm sự tham gia của các thành viên còn lại.</w:t>
            </w:r>
          </w:p>
        </w:tc>
      </w:tr>
      <w:tr w:rsidR="00397D43" w:rsidRPr="005746C6" w14:paraId="587D2208" w14:textId="77777777">
        <w:trPr>
          <w:jc w:val="center"/>
        </w:trPr>
        <w:tc>
          <w:tcPr>
            <w:tcW w:w="3156" w:type="dxa"/>
          </w:tcPr>
          <w:p w14:paraId="26724206"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Thiếu trách nhiệm và phối hợp tập thể</w:t>
            </w:r>
          </w:p>
        </w:tc>
        <w:tc>
          <w:tcPr>
            <w:tcW w:w="3156" w:type="dxa"/>
          </w:tcPr>
          <w:p w14:paraId="085B94DC"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Các thành viên tự ý đề xuất chi phí, làm việc phần ai nấy làm.</w:t>
            </w:r>
          </w:p>
        </w:tc>
        <w:tc>
          <w:tcPr>
            <w:tcW w:w="3156" w:type="dxa"/>
          </w:tcPr>
          <w:p w14:paraId="3C6A63A2"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Mỗi người chỉ quan tâm phần việc riêng, chưa nhìn dự án như một hệ thống có ngân sách, nội dung, thiết kế và đối tác liên quan chặt chẽ.</w:t>
            </w:r>
          </w:p>
        </w:tc>
      </w:tr>
      <w:tr w:rsidR="00397D43" w:rsidRPr="005746C6" w14:paraId="2C50F620" w14:textId="77777777">
        <w:trPr>
          <w:jc w:val="center"/>
        </w:trPr>
        <w:tc>
          <w:tcPr>
            <w:tcW w:w="3156" w:type="dxa"/>
          </w:tcPr>
          <w:p w14:paraId="538F6120"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Quản lý xung đột kém</w:t>
            </w:r>
          </w:p>
        </w:tc>
        <w:tc>
          <w:tcPr>
            <w:tcW w:w="3156" w:type="dxa"/>
          </w:tcPr>
          <w:p w14:paraId="3E8DE8C2"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Trưởng nhóm im lặng, né tránh khi có tranh cãi.</w:t>
            </w:r>
          </w:p>
        </w:tc>
        <w:tc>
          <w:tcPr>
            <w:tcW w:w="3156" w:type="dxa"/>
          </w:tcPr>
          <w:p w14:paraId="65273609" w14:textId="77777777" w:rsidR="00397D43" w:rsidRPr="005746C6" w:rsidRDefault="00000000">
            <w:pPr>
              <w:rPr>
                <w:rFonts w:ascii="Times New Roman" w:hAnsi="Times New Roman" w:cs="Times New Roman"/>
                <w:sz w:val="26"/>
                <w:szCs w:val="26"/>
              </w:rPr>
            </w:pPr>
            <w:r w:rsidRPr="005746C6">
              <w:rPr>
                <w:rFonts w:ascii="Times New Roman" w:hAnsi="Times New Roman" w:cs="Times New Roman"/>
                <w:sz w:val="26"/>
                <w:szCs w:val="26"/>
              </w:rPr>
              <w:t>Mâu thuẫn không được xử lý sớm nên chuyển từ bất đồng công việc thành căng thẳng cá nhân.</w:t>
            </w:r>
          </w:p>
        </w:tc>
      </w:tr>
    </w:tbl>
    <w:p w14:paraId="38FEF0F5"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2.2. Đánh giá vai trò quản lý của Trưởng nhóm</w:t>
      </w:r>
    </w:p>
    <w:p w14:paraId="276EBDD9"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Nguyên nhân sâu xa của tình trạng trên đến từ việc người điều hành chưa thực hiện tốt vai trò quản lý dự án. Trưởng nhóm thiếu sót trước hết ở khâu xác lập mục tiêu: không chia chiến dịch thành các mốc rõ ràng như hoàn thiện thông điệp, duyệt thiết kế, chốt đối tác, kiểm soát ngân sách và tổng duyệt sự kiện. Khi không có mục tiêu theo giai đoạn, nhóm dễ làm theo cảm tính và khó đo tiến độ.</w:t>
      </w:r>
    </w:p>
    <w:p w14:paraId="5E75F550"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Thứ hai, Trưởng nhóm phân công công việc chồng chéo, chứng tỏ chưa xác định rõ quyền hạn và trách nhiệm của từng vai trò. Trong doanh nghiệp, người quản lý dự án cần làm rõ ai là người thực hiện, ai phối hợp, ai phê duyệt và ai được tham vấn. Nếu thiếu sự phân vai này, các thành viên sẽ tự quyết hoặc đổ lỗi cho nhau khi có vấn đề.</w:t>
      </w:r>
    </w:p>
    <w:p w14:paraId="6E50E2D7"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Thứ ba, Trưởng nhóm thiếu năng lực điều phối giao tiếp và giải quyết xung đột. Thay vì tổ chức cuộc họp xử lý nguyên nhân, thống nhất quy trình cập nhật và đưa ra nguyên tắc tranh luận, Trưởng nhóm lại chọn im lặng. Sự né tránh này làm xung đột kéo dài, khiến thành viên mất niềm tin vào người lãnh đạo và giảm động lực đóng góp.</w:t>
      </w:r>
    </w:p>
    <w:p w14:paraId="301B37B6"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2.3. Dự báo rủi ro nếu tình trạng kéo dài</w:t>
      </w:r>
    </w:p>
    <w:p w14:paraId="1F350049"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Về tiến độ, dự án có nguy cơ tiếp tục chậm trễ vì nội dung và thiết kế không đồng bộ. Thiết kế có thể phải sửa nhiều lần do nội dung không rõ, còn nội dung có thể bị thay đổi muộn để phù hợp với hình ảnh. Các đầu việc liên hệ đối tác, dự toán chi phí và truyền thông sự kiện cũng bị ảnh hưởng dây chuyền.</w:t>
      </w:r>
    </w:p>
    <w:p w14:paraId="4F58A8B7"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 xml:space="preserve">Về ngân sách, việc tự ý đề xuất chi phí mà không báo cáo có thể làm vượt ngân sách, phát sinh khoản chi không cần thiết hoặc không thể giải trình. Người quản lý ngân sách sẽ </w:t>
      </w:r>
      <w:r w:rsidRPr="005746C6">
        <w:rPr>
          <w:rFonts w:ascii="Times New Roman" w:hAnsi="Times New Roman" w:cs="Times New Roman"/>
          <w:sz w:val="26"/>
          <w:szCs w:val="26"/>
        </w:rPr>
        <w:lastRenderedPageBreak/>
        <w:t>mất khả năng kiểm soát dòng tiền, trong khi công ty có thể đánh giá nhóm thiếu chuyên nghiệp và thiếu kỷ luật tài chính.</w:t>
      </w:r>
    </w:p>
    <w:p w14:paraId="174D572A"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Về uy tín, nhóm có thể bị đánh giá là không đủ năng lực triển khai một chiến dịch thực tế. Nếu sự kiện ra mắt sản phẩm mới bị chuẩn bị kém, hình ảnh của nhóm trong mắt công ty, đối tác và các phòng ban liên quan sẽ bị ảnh hưởng. Nghiêm trọng hơn, các thành viên có thể mất cơ hội được giao nhiệm vụ quan trọng trong các dự án sau.</w:t>
      </w:r>
    </w:p>
    <w:p w14:paraId="0D15A234" w14:textId="77777777" w:rsidR="00397D43" w:rsidRPr="005746C6" w:rsidRDefault="00000000">
      <w:pPr>
        <w:pStyle w:val="Heading1"/>
        <w:spacing w:before="160" w:after="80"/>
        <w:rPr>
          <w:rFonts w:ascii="Times New Roman" w:hAnsi="Times New Roman" w:cs="Times New Roman"/>
          <w:color w:val="auto"/>
          <w:sz w:val="26"/>
          <w:szCs w:val="26"/>
        </w:rPr>
      </w:pPr>
      <w:r w:rsidRPr="005746C6">
        <w:rPr>
          <w:rFonts w:ascii="Times New Roman" w:eastAsia="Arial" w:hAnsi="Times New Roman" w:cs="Times New Roman"/>
          <w:color w:val="auto"/>
          <w:sz w:val="26"/>
          <w:szCs w:val="26"/>
        </w:rPr>
        <w:t>III. Kế hoạch hành động can thiệp theo mô hình PERFORM</w:t>
      </w:r>
    </w:p>
    <w:p w14:paraId="11FC645C"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Với vai trò tư vấn cho Trưởng nhóm, mục tiêu can thiệp là giúp nhóm vượt qua giai đoạn Storming, tiến tới Norming và dần đạt Performing. Kế hoạch cần dựa trên các tiêu chuẩn của PERFORM, đặc biệt là: mục đích và giá trị chung, trao quyền, quan hệ và giao tiếp, linh hoạt, hiệu quả tối ưu, ghi nhận và tinh thần làm việc.</w:t>
      </w:r>
    </w:p>
    <w:p w14:paraId="1AA2CB21"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Bước 1. Thiết lập lại mục đích và giá trị chung</w:t>
      </w:r>
    </w:p>
    <w:p w14:paraId="7257832F"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Trưởng nhóm cần tổ chức một buổi họp tái khởi động dự án trong đó cả nhóm cùng thống nhất mục tiêu chung: tổ chức thành công sự kiện ra mắt sản phẩm mới đúng thời hạn, đúng ngân sách và truyền tải rõ thông điệp sản phẩm. Mục tiêu nên được cụ thể hóa thành các mốc: hoàn thiện concept nội dung, duyệt bản thiết kế chính, chốt danh sách đối tác, khóa ngân sách, chạy thử chương trình và tổng kết sau sự kiện.</w:t>
      </w:r>
    </w:p>
    <w:p w14:paraId="225085E1"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Sau đó, Trưởng nhóm cần lập bảng phân công rõ ràng theo nguyên tắc mỗi đầu việc có một người chịu trách nhiệm chính, thời hạn cụ thể và tiêu chí hoàn thành. Ví dụ, Người phụ trách nội dung chịu trách nhiệm thông điệp và kịch bản truyền thông; Người thiết kế chịu trách nhiệm hình ảnh; Người quản lý ngân sách phê duyệt các khoản chi; Người liên hệ đối tác phụ trách trao đổi bên ngoài nhưng phải báo cáo các cam kết ảnh hưởng đến ngân sách hoặc lịch trình. Cách làm này giúp các thành viên hiểu rằng phần việc cá nhân chỉ có ý nghĩa khi phục vụ mục tiêu chung.</w:t>
      </w:r>
    </w:p>
    <w:p w14:paraId="062CE07C"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Bước 2. Cải thiện quan hệ và giao tiếp cởi mở</w:t>
      </w:r>
    </w:p>
    <w:p w14:paraId="02AC9D10"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Để xử lý mâu thuẫn giữa Người thiết kế và Người phụ trách nội dung, Trưởng nhóm cần chuyển tranh luận từ công kích cá nhân sang giải quyết vấn đề. Hai thành viên nên có một cuộc họp ngắn riêng với sự điều phối của Trưởng nhóm để làm rõ: nội dung cần cung cấp những gì cho thiết kế, thiết kế cần phản hồi theo tiêu chí nào, thời điểm cập nhật giữa hai bên là khi nào.</w:t>
      </w:r>
    </w:p>
    <w:p w14:paraId="33122224"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Nhóm nên áp dụng quy tắc giao tiếp: góp ý vào sản phẩm, không phán xét con người; mọi phản hồi phải đi kèm ví dụ cụ thể; sau mỗi cuộc họp phải có biên bản ngắn ghi rõ việc cần làm, người phụ trách và hạn hoàn thành. Ngoài ra, nên tạo một kênh cập nhật chung, ví dụ bảng công việc online hoặc file tiến độ, để Người nội dung cập nhật bản nháp, Người thiết kế phản hồi trực tiếp và cả nhóm theo dõi được trạng thái. Khi giao tiếp minh bạch hơn, mâu thuẫn sẽ giảm và nhóm bắt đầu bước vào giai đoạn Norming.</w:t>
      </w:r>
    </w:p>
    <w:p w14:paraId="59B482D0" w14:textId="77777777" w:rsidR="00397D43" w:rsidRPr="005746C6" w:rsidRDefault="00000000">
      <w:pPr>
        <w:pStyle w:val="Heading2"/>
        <w:spacing w:before="100" w:after="80"/>
        <w:rPr>
          <w:rFonts w:ascii="Times New Roman" w:hAnsi="Times New Roman" w:cs="Times New Roman"/>
          <w:color w:val="auto"/>
          <w:sz w:val="26"/>
        </w:rPr>
      </w:pPr>
      <w:r w:rsidRPr="005746C6">
        <w:rPr>
          <w:rFonts w:ascii="Times New Roman" w:eastAsia="Arial" w:hAnsi="Times New Roman" w:cs="Times New Roman"/>
          <w:color w:val="auto"/>
          <w:sz w:val="26"/>
        </w:rPr>
        <w:t>Bước 3. Trao quyền, tin tưởng và duy trì tính linh hoạt</w:t>
      </w:r>
    </w:p>
    <w:p w14:paraId="7D0B5E32"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 xml:space="preserve">Với Người quản lý ngân sách, Trưởng nhóm cần trao quyền kiểm soát ngân sách một cách chính thức. Mọi đề xuất chi phí phải đi qua một biểu mẫu ngắn gồm: mục đích chi, số tiền dự kiến, người đề xuất, lợi ích đối với sự kiện và trạng thái phê duyệt. Người quản lý ngân sách có quyền nhắc nhở, yêu cầu điều chỉnh hoặc từ chối các khoản không phù hợp </w:t>
      </w:r>
      <w:r w:rsidRPr="005746C6">
        <w:rPr>
          <w:rFonts w:ascii="Times New Roman" w:hAnsi="Times New Roman" w:cs="Times New Roman"/>
          <w:sz w:val="26"/>
          <w:szCs w:val="26"/>
        </w:rPr>
        <w:lastRenderedPageBreak/>
        <w:t>với giới hạn ngân sách đã thống nhất. Như vậy, thành viên này không chỉ “phàn nàn” mà trở thành người giữ kỷ luật tài chính cho nhóm.</w:t>
      </w:r>
    </w:p>
    <w:p w14:paraId="38298EF0"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Với Người liên hệ đối tác, Trưởng nhóm nên tin tưởng giao quyền đàm phán trong phạm vi nhất định, nhưng phải đặt ranh giới rõ: không tự ý cam kết chi phí, thời gian hoặc quyền lợi truyền thông vượt quá mức đã duyệt. Để tránh cái tôi cá nhân, các quyết định quan trọng cần được thảo luận theo tiêu chí khách quan như chi phí, lợi ích truyền thông, mức độ phù hợp với sản phẩm và rủi ro thực hiện. Nhóm vẫn linh hoạt tiếp nhận ý tưởng mới, nhưng mọi ý tưởng phải được đánh giá bằng tiêu chí chung chứ không dựa vào việc ai nói mạnh hơn.</w:t>
      </w:r>
    </w:p>
    <w:p w14:paraId="2D5D60E2" w14:textId="77777777" w:rsidR="00397D43" w:rsidRPr="005746C6" w:rsidRDefault="00000000">
      <w:pPr>
        <w:pStyle w:val="Heading1"/>
        <w:spacing w:before="160" w:after="80"/>
        <w:rPr>
          <w:rFonts w:ascii="Times New Roman" w:hAnsi="Times New Roman" w:cs="Times New Roman"/>
          <w:color w:val="auto"/>
          <w:sz w:val="26"/>
          <w:szCs w:val="26"/>
        </w:rPr>
      </w:pPr>
      <w:r w:rsidRPr="005746C6">
        <w:rPr>
          <w:rFonts w:ascii="Times New Roman" w:eastAsia="Arial" w:hAnsi="Times New Roman" w:cs="Times New Roman"/>
          <w:color w:val="auto"/>
          <w:sz w:val="26"/>
          <w:szCs w:val="26"/>
        </w:rPr>
        <w:t>IV. Kết luận</w:t>
      </w:r>
    </w:p>
    <w:p w14:paraId="725A93D1"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Tình huống cho thấy nhóm dự án chưa vận hành như một Team đúng nghĩa mà vẫn thiên về Group, vì thiếu mục tiêu chung, thiếu phối hợp và thiếu trách nhiệm tập thể. Theo mô hình Tuckman, nhóm đã chuyển từ Forming sang Storming nhưng chưa vượt qua được xung đột do vai trò lãnh đạo còn mờ nhạt. Nếu không can thiệp kịp thời, dự án có thể tiếp tục chậm tiến độ, vượt ngân sách và làm giảm uy tín của nhóm trong công ty.</w:t>
      </w:r>
    </w:p>
    <w:p w14:paraId="17E5B157" w14:textId="77777777" w:rsidR="00397D43" w:rsidRPr="005746C6" w:rsidRDefault="00000000">
      <w:pPr>
        <w:spacing w:after="100" w:line="259" w:lineRule="auto"/>
        <w:ind w:firstLine="425"/>
        <w:jc w:val="both"/>
        <w:rPr>
          <w:rFonts w:ascii="Times New Roman" w:hAnsi="Times New Roman" w:cs="Times New Roman"/>
          <w:sz w:val="26"/>
          <w:szCs w:val="26"/>
        </w:rPr>
      </w:pPr>
      <w:r w:rsidRPr="005746C6">
        <w:rPr>
          <w:rFonts w:ascii="Times New Roman" w:hAnsi="Times New Roman" w:cs="Times New Roman"/>
          <w:sz w:val="26"/>
          <w:szCs w:val="26"/>
        </w:rPr>
        <w:t>Kế hoạch hành động dựa trên PERFORM cần bắt đầu từ việc thiết lập lại mục đích chung, cải thiện giao tiếp, sau đó trao quyền đúng cách và xây dựng quy trình linh hoạt. Khi Trưởng nhóm chủ động điều phối, các thành viên hiểu rõ vai trò và biết phối hợp thay vì làm việc riêng lẻ, nhóm có cơ hội chuyển sang giai đoạn Norming và tiến tới Performing trong các tuần tiếp theo.</w:t>
      </w:r>
    </w:p>
    <w:sectPr w:rsidR="00397D43" w:rsidRPr="005746C6" w:rsidSect="00034616">
      <w:headerReference w:type="default" r:id="rId8"/>
      <w:footerReference w:type="default" r:id="rId9"/>
      <w:pgSz w:w="11906" w:h="16838"/>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E18A" w14:textId="77777777" w:rsidR="00626E0A" w:rsidRDefault="00626E0A">
      <w:pPr>
        <w:spacing w:after="0" w:line="240" w:lineRule="auto"/>
      </w:pPr>
      <w:r>
        <w:separator/>
      </w:r>
    </w:p>
  </w:endnote>
  <w:endnote w:type="continuationSeparator" w:id="0">
    <w:p w14:paraId="6BD9ECC6" w14:textId="77777777" w:rsidR="00626E0A" w:rsidRDefault="00626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C2B5" w14:textId="4C38B610" w:rsidR="00397D43" w:rsidRDefault="00397D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7DBE" w14:textId="77777777" w:rsidR="00626E0A" w:rsidRDefault="00626E0A">
      <w:pPr>
        <w:spacing w:after="0" w:line="240" w:lineRule="auto"/>
      </w:pPr>
      <w:r>
        <w:separator/>
      </w:r>
    </w:p>
  </w:footnote>
  <w:footnote w:type="continuationSeparator" w:id="0">
    <w:p w14:paraId="18A7277F" w14:textId="77777777" w:rsidR="00626E0A" w:rsidRDefault="00626E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3035" w14:textId="4FBB8C22" w:rsidR="00397D43" w:rsidRDefault="00397D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562081">
    <w:abstractNumId w:val="8"/>
  </w:num>
  <w:num w:numId="2" w16cid:durableId="1253317601">
    <w:abstractNumId w:val="6"/>
  </w:num>
  <w:num w:numId="3" w16cid:durableId="1977223956">
    <w:abstractNumId w:val="5"/>
  </w:num>
  <w:num w:numId="4" w16cid:durableId="2081436513">
    <w:abstractNumId w:val="4"/>
  </w:num>
  <w:num w:numId="5" w16cid:durableId="1567958333">
    <w:abstractNumId w:val="7"/>
  </w:num>
  <w:num w:numId="6" w16cid:durableId="1098604309">
    <w:abstractNumId w:val="3"/>
  </w:num>
  <w:num w:numId="7" w16cid:durableId="436220104">
    <w:abstractNumId w:val="2"/>
  </w:num>
  <w:num w:numId="8" w16cid:durableId="1692561538">
    <w:abstractNumId w:val="1"/>
  </w:num>
  <w:num w:numId="9" w16cid:durableId="85997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E3F"/>
    <w:rsid w:val="0015074B"/>
    <w:rsid w:val="0029639D"/>
    <w:rsid w:val="00326F90"/>
    <w:rsid w:val="00397D43"/>
    <w:rsid w:val="005746C6"/>
    <w:rsid w:val="00626E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F7154"/>
  <w14:defaultImageDpi w14:val="300"/>
  <w15:docId w15:val="{D2144DB8-704C-4195-8A1A-89C2A49C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Crou En</cp:lastModifiedBy>
  <cp:revision>2</cp:revision>
  <dcterms:created xsi:type="dcterms:W3CDTF">2026-05-28T04:45:00Z</dcterms:created>
  <dcterms:modified xsi:type="dcterms:W3CDTF">2026-05-28T04:45:00Z</dcterms:modified>
  <cp:category/>
</cp:coreProperties>
</file>