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20617"/>
          <w:sz w:val="29"/>
          <w:szCs w:val="29"/>
          <w:rtl w:val="0"/>
        </w:rPr>
        <w:t xml:space="preserve">Bài 3 : Tự động hóa Phân tích File Log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cnwvpymac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Báo cáo phân tích: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6690"/>
        <w:tblGridChange w:id="0">
          <w:tblGrid>
            <w:gridCol w:w="3225"/>
            <w:gridCol w:w="66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 bước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Powershell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 (Đọc dữ liệu)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Get-Content .\access.log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Stdin (Lọc chữ đã chỉ định)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Select-String “TIMEOUT”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Xuất ra màn hình số dòng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(Get-Content .\access.log | Select-String “TIMEOUT”).Count</w:t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Viết câu lệnh PowerShell nối 3 bước: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(Get-Content .\access.log | Select-String “TIMEOUT”).Count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