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4 : Xây dựng quy trình lưu nhật ký hệ thống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so sánh:</w:t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3135"/>
        <w:gridCol w:w="3660"/>
        <w:tblGridChange w:id="0">
          <w:tblGrid>
            <w:gridCol w:w="2865"/>
            <w:gridCol w:w="313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Phân biệt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Lệnh “&gt;”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Lệnh “&gt;&gt;”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Cơ chế hoạt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đè : Xóa dữ liệu cũ trong file và thay thế bằng dữ liệu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nối : Nối tiếp dữ liệu mới vào file mà không làm mất dữ liệu cũ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Rủi ro mất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Ngữ cảnh sử dụng thực tế (Ca sáng với theo dõi 24/7)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hiển thị dữ liệu cuối ngày của ngày cuối tuần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dữ liệu tất cả các ngày trong tuần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Encoding file đầu 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ghi tệp theo encoding UTF-16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 phép chỉ định encoding rõ ràng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g63taq009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Lựa chọn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pháp tối ưu là : </w:t>
      </w:r>
      <w:r w:rsidDel="00000000" w:rsidR="00000000" w:rsidRPr="00000000">
        <w:rPr>
          <w:sz w:val="24"/>
          <w:szCs w:val="24"/>
          <w:rtl w:val="0"/>
        </w:rPr>
        <w:t xml:space="preserve">dùng lệnh “&gt;&gt;” để ghi nối báo cáo mỗi ngày nhằm tránh mất dữ liệu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