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4824"/>
          </w:tcPr>
          <w:p>
            <w:pPr>
              <w:jc w:val="center"/>
            </w:pPr>
            <w:r>
              <w:rPr>
                <w:b/>
                <w:sz w:val="20"/>
              </w:rPr>
              <w:t>BỘ CÔNG AN / CÔNG TY TNHH ĐẦU TƯ</w:t>
              <w:br/>
              <w:t>ĐƠN VỊ TƯ VẤN THẨM TRA DỰ TOÁN</w:t>
            </w:r>
          </w:p>
        </w:tc>
        <w:tc>
          <w:tcPr>
            <w:tcW w:type="dxa" w:w="4824"/>
          </w:tcPr>
          <w:p>
            <w:pPr>
              <w:jc w:val="center"/>
            </w:pPr>
            <w:r>
              <w:rPr>
                <w:b/>
                <w:sz w:val="22"/>
              </w:rPr>
              <w:t>CỘNG HÒA XÃ HỘI CHỦ NGHĨA VIỆT NAM</w:t>
              <w:br/>
              <w:t>Độc lập - Tự do - Hạnh phúc</w:t>
            </w:r>
          </w:p>
          <w:p>
            <w:pPr>
              <w:spacing w:before="0" w:after="80"/>
              <w:jc w:val="center"/>
            </w:pPr>
            <w:r>
              <w:rPr>
                <w:b/>
              </w:rPr>
              <w:t>-----------------------</w:t>
            </w:r>
          </w:p>
        </w:tc>
      </w:tr>
      <w:tr>
        <w:tc>
          <w:tcPr>
            <w:tcW w:type="dxa" w:w="4824"/>
          </w:tcPr>
          <w:p>
            <w:pPr>
              <w:jc w:val="center"/>
            </w:pPr>
            <w:r>
              <w:rPr>
                <w:i/>
                <w:sz w:val="20"/>
              </w:rPr>
              <w:t>Số: 38/2026/BCTT-TT38</w:t>
            </w:r>
          </w:p>
        </w:tc>
        <w:tc>
          <w:tcPr>
            <w:tcW w:type="dxa" w:w="4824"/>
          </w:tcPr>
          <w:p>
            <w:pPr>
              <w:jc w:val="center"/>
            </w:pPr>
            <w:r>
              <w:rPr>
                <w:i/>
                <w:sz w:val="20"/>
              </w:rPr>
              <w:t>Hà Nội, ngày 09 tháng 10 năm 2026</w:t>
            </w:r>
          </w:p>
        </w:tc>
      </w:tr>
    </w:tbl>
    <w:p>
      <w:pPr>
        <w:spacing w:after="240"/>
      </w:pPr>
    </w:p>
    <w:p>
      <w:pPr>
        <w:spacing w:after="80"/>
        <w:jc w:val="center"/>
      </w:pPr>
      <w:r>
        <w:rPr>
          <w:b/>
          <w:color w:val="1F4E79"/>
          <w:sz w:val="30"/>
        </w:rPr>
        <w:t>BÁO CÁO KẾT QUẢ THẨM TRA DỰ TOÁN XÂY DỰNG</w:t>
      </w:r>
    </w:p>
    <w:p>
      <w:pPr>
        <w:spacing w:after="280"/>
        <w:jc w:val="center"/>
      </w:pPr>
      <w:r>
        <w:rPr>
          <w:b/>
          <w:sz w:val="24"/>
        </w:rPr>
        <w:t>Công trình: DỰ ÁN NHÀ Ở CHO LỰC LƯỢNG VŨ TRANG CAND - Ô ĐẤT NO1 CẦU GIẤY</w:t>
        <w:br/>
        <w:t>(Rà soát theo Thông tư số 38/2026/TT-BXD và Báo giá thị trường)</w:t>
      </w:r>
    </w:p>
    <w:p>
      <w:pPr>
        <w:spacing w:after="240"/>
        <w:jc w:val="center"/>
      </w:pPr>
      <w:r>
        <w:rPr>
          <w:b/>
          <w:sz w:val="24"/>
        </w:rPr>
        <w:t>Kính gửi: BAN QUẢN LÝ DỰ ÁN &amp; CHỦ ĐẦU TƯ</w:t>
      </w:r>
    </w:p>
    <w:p>
      <w:pPr>
        <w:spacing w:before="160" w:after="80"/>
      </w:pPr>
      <w:r>
        <w:rPr>
          <w:b/>
          <w:color w:val="1F4E79"/>
          <w:sz w:val="25"/>
        </w:rPr>
        <w:t>1. CĂN CỨ PHÁP LÝ THỰC HIỆN THẨM TRA</w:t>
      </w:r>
    </w:p>
    <w:p>
      <w:pPr>
        <w:pStyle w:val="ListBullet"/>
        <w:spacing w:after="40"/>
      </w:pPr>
      <w:r>
        <w:t>Căn cứ Luật Xây dựng số 50/2014/QH13 và Luật sửa đổi, bổ sung một số điều của Luật Xây dựng số 62/2020/QH14;</w:t>
      </w:r>
    </w:p>
    <w:p>
      <w:pPr>
        <w:pStyle w:val="ListBullet"/>
        <w:spacing w:after="40"/>
      </w:pPr>
      <w:r>
        <w:t>Căn cứ Nghị định số 10/2021/NĐ-CP ngày 09/02/2021 của Chính phủ về quản lý chi phí đầu tư xây dựng;</w:t>
      </w:r>
    </w:p>
    <w:p>
      <w:pPr>
        <w:pStyle w:val="ListBullet"/>
        <w:spacing w:after="40"/>
      </w:pPr>
      <w:r>
        <w:t>Căn cứ Thông tư số 38/2026/TT-BXD ngày 28/08/2026 của Bộ Xây dựng ban hành hệ thống Định mức kinh tế - kỹ thuật xây dựng;</w:t>
      </w:r>
    </w:p>
    <w:p>
      <w:pPr>
        <w:pStyle w:val="ListBullet"/>
        <w:spacing w:after="40"/>
      </w:pPr>
      <w:r>
        <w:t>Căn cứ Công bố giá vật liệu xây dựng, đơn giá nhân công, giá ca máy của Sở Xây dựng TP Hà Nội;</w:t>
      </w:r>
    </w:p>
    <w:p>
      <w:pPr>
        <w:pStyle w:val="ListBullet"/>
        <w:spacing w:after="40"/>
      </w:pPr>
      <w:r>
        <w:t>Căn cứ Hồ sơ thiết kế bản vẽ thi công và các Báo giá cung cấp vật tư, thiết bị chính hãng đã được thu thập đối chứng.</w:t>
      </w:r>
    </w:p>
    <w:p>
      <w:pPr>
        <w:spacing w:before="200" w:after="80"/>
      </w:pPr>
      <w:r>
        <w:rPr>
          <w:b/>
          <w:color w:val="1F4E79"/>
          <w:sz w:val="25"/>
        </w:rPr>
        <w:t>2. THÔNG TIN HỒ SƠ DỰ TOÁN ĐẦU VÀO VÀ PHẠM VI THẨM TRA</w:t>
      </w:r>
    </w:p>
    <w:p>
      <w:pPr>
        <w:spacing w:after="80"/>
      </w:pPr>
      <w:r>
        <w:t>Đơn vị thẩm tra đã tiếp nhận toàn bộ hồ sơ dự toán điện tử (.xls, .xlsx) do Tư vấn thiết kế lập và hệ thống báo giá đầu vào, bao gồm các hạng mục chính sau:</w:t>
      </w:r>
    </w:p>
    <w:p>
      <w:pPr>
        <w:pStyle w:val="ListBullet"/>
        <w:spacing w:after="40"/>
      </w:pPr>
      <w:r>
        <w:t>- Hạng mục: 2026.09.21_CTQH NOXH NO3-1 - PA SHCĐ T19.xlsx (Giá trị dự toán ban đầu: 0 đồng)</w:t>
      </w:r>
    </w:p>
    <w:p>
      <w:pPr>
        <w:pStyle w:val="ListBullet"/>
        <w:spacing w:after="40"/>
      </w:pPr>
      <w:r>
        <w:t>- Hạng mục: BPTC.xls (Giá trị dự toán ban đầu: 26,562,774,774 đồng)</w:t>
      </w:r>
    </w:p>
    <w:p>
      <w:pPr>
        <w:pStyle w:val="ListBullet"/>
        <w:spacing w:after="40"/>
      </w:pPr>
      <w:r>
        <w:t>- Hạng mục: Chi phi ra pha bom min.xls (Giá trị dự toán ban đầu: 152,740,595 đồng)</w:t>
      </w:r>
    </w:p>
    <w:p>
      <w:pPr>
        <w:pStyle w:val="ListBullet"/>
        <w:spacing w:after="40"/>
      </w:pPr>
      <w:r>
        <w:t>- Hạng mục: DHKK KHOI DE.xls (Giá trị dự toán ban đầu: 16,557,213,176 đồng)</w:t>
      </w:r>
    </w:p>
    <w:p>
      <w:pPr>
        <w:pStyle w:val="ListBullet"/>
        <w:spacing w:after="40"/>
      </w:pPr>
      <w:r>
        <w:t>- Hạng mục: HOAN THIEN MAT DUNG.xls (Giá trị dự toán ban đầu: 87,991,923,671 đồng)</w:t>
      </w:r>
    </w:p>
    <w:p>
      <w:pPr>
        <w:pStyle w:val="ListBullet"/>
        <w:spacing w:after="40"/>
      </w:pPr>
      <w:r>
        <w:t>- Hạng mục: TMDT NOXH C4.xls (Giá trị dự toán ban đầu: 1,395,500,000,000 đồng)</w:t>
      </w:r>
    </w:p>
    <w:p>
      <w:pPr>
        <w:spacing w:before="240" w:after="80"/>
      </w:pPr>
      <w:r>
        <w:rPr>
          <w:b/>
          <w:color w:val="1F4E79"/>
          <w:sz w:val="26"/>
        </w:rPr>
        <w:t>3. KẾT QUẢ KIỂM TRA DỰ TOÁN XÂY DỰNG THEO ĐIỀU 5 YÊU CẦU THẨM TRA</w:t>
      </w:r>
    </w:p>
    <w:p>
      <w:pPr>
        <w:spacing w:before="120" w:after="60"/>
      </w:pPr>
      <w:r>
        <w:rPr>
          <w:b/>
          <w:sz w:val="24"/>
        </w:rPr>
        <w:t>3.1. Kiểm tra sự phù hợp giữa khối lượng dự toán chủ yếu với khối lượng thiết kế (Mục 5.1)</w:t>
      </w:r>
    </w:p>
    <w:p>
      <w:pPr>
        <w:spacing w:after="120"/>
      </w:pPr>
      <w:r>
        <w:t>Qua đối chiếu chi tiết giữa bảng tiên lượng dự toán với bản vẽ thiết kế thi công đã được phê duyệt:</w:t>
        <w:br/>
        <w:t>a) Hạng mục Hoàn thiện mặt ngoài: Khối lượng vách kính khung nhôm mặt tiền (8.451,12 m2) và tấm ốp hợp kim nhôm (5.577,17 m2) phù hợp hoàn toàn với mặt bằng và mặt đứng kiến trúc của tòa nhà NO1 Cầu Giấy.</w:t>
        <w:br/>
        <w:t>b) Hạng mục Điều hòa không khí &amp; Thông gió khối đế: Số lượng 8 tổ hợp dàn nóng trung tâm VRF (công suất từ 10 HP đến 46 HP) và 91 cụm dàn lạnh cassette/âm trần nối ống gió khớp đúng với sơ đồ nguyên lý và mặt bằng bố trí thiết bị MEP.</w:t>
        <w:br/>
        <w:t>c) Hạng mục Biện pháp thi công: Khối lượng gia công lắp dựng cọc Kingpost (200,0 tấn), 1.000 cái đinh chống cắt stud bolt D19 và 20,9 m3 vữa không co ngót B40 hoàn toàn phù hợp với thuyết minh biện pháp thi công tầng hầm Semi-Topdown.</w:t>
        <w:br/>
        <w:t>-&gt; Đánh giá chung Mục 5.1: Khối lượng dự toán cơ bản phù hợp với khối lượng thiết kế, không phát hiện việc tính thừa hoặc trùng lặp khối lượng.</w:t>
      </w:r>
    </w:p>
    <w:p>
      <w:pPr>
        <w:spacing w:before="120" w:after="60"/>
      </w:pPr>
      <w:r>
        <w:rPr>
          <w:b/>
          <w:sz w:val="24"/>
        </w:rPr>
        <w:t>3.2. Kiểm tra tính đúng đắn, hợp lý của việc áp dụng định mức Thông tư 38/2026/TT-BXD (Mục 5.2)</w:t>
      </w:r>
    </w:p>
    <w:p>
      <w:pPr>
        <w:spacing w:after="120"/>
      </w:pPr>
      <w:r>
        <w:t>Toàn bộ các mã hiệu định mức công tác đã được phần mềm quét và đối chiếu trực tiếp với 1.889 trang của 8 Phụ lục thuộc Thông tư số 38/2026/TT-BXD:</w:t>
        <w:br/>
        <w:t>- Đã chuẩn hóa và khớp đúng định mức TT38: 63 đầu việc (chiếm tỷ lệ cao, áp dụng đúng Phụ lục II - Định mức xây dựng và Phụ lục IV - Định mức lắp đặt thiết bị).</w:t>
        <w:br/>
        <w:t>- Công tác tạm tính (Mã TT): 0 đầu việc (Chủ yếu thuộc các công tác đặc thù như đinh chống cắt Stud bolt, đổ vữa SikaGrout đầu cọc Kingpost, siêu âm cọc).</w:t>
        <w:br/>
        <w:t>Kiến nghị về định mức: Toàn bộ các công tác chuẩn TT38 đã được liên kết trực tiếp trang PDF để tra cứu tức thì. Đối với các công tác Tạm tính (TT), yêu cầu Tư vấn thiết kế và Nhà thầu hoàn thiện quy trình phê duyệt biện pháp thi công và lưu trữ tối thiểu 03 báo giá cạnh tranh theo đúng quy định.</w:t>
      </w:r>
    </w:p>
    <w:p>
      <w:pPr>
        <w:spacing w:before="120" w:after="60"/>
      </w:pPr>
      <w:r>
        <w:rPr>
          <w:b/>
          <w:sz w:val="24"/>
        </w:rPr>
        <w:t>3.3. Xác định giá trị dự toán sau thẩm tra, mức độ và nguyên nhân tăng giảm chi phí (Mục 5.3)</w:t>
      </w:r>
    </w:p>
    <w:p>
      <w:pPr>
        <w:spacing w:after="120"/>
      </w:pPr>
      <w:r>
        <w:t>Trên cơ sở đối chiếu đơn giá dự toán với Báo giá chính hãng của nhà sản xuất (Daikin, Nhôm Xingfa, Kính Viglacera, Posco, Sika) và Công bố giá vật liệu của Sở Xây dựng Hà Nội, giá trị dự toán các gói thầu sau thẩm tra được xác định cụ thể như sau: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608"/>
            <w:shd w:fill="1F4E79"/>
            <w:tcMar>
              <w:top w:w="120" w:type="dxa"/>
              <w:bottom w:w="120" w:type="dxa"/>
              <w:left w:w="100" w:type="dxa"/>
              <w:right w:w="100" w:type="dxa"/>
            </w:tcMar>
          </w:tcPr>
          <w:p>
            <w:pPr>
              <w:jc w:val="center"/>
            </w:pPr>
            <w:r>
              <w:rPr>
                <w:b/>
                <w:color w:val="FFFFFF"/>
                <w:sz w:val="20"/>
              </w:rPr>
              <w:t>STT</w:t>
            </w:r>
          </w:p>
        </w:tc>
        <w:tc>
          <w:tcPr>
            <w:tcW w:type="dxa" w:w="1608"/>
            <w:shd w:fill="1F4E79"/>
            <w:tcMar>
              <w:top w:w="120" w:type="dxa"/>
              <w:bottom w:w="120" w:type="dxa"/>
              <w:left w:w="100" w:type="dxa"/>
              <w:right w:w="100" w:type="dxa"/>
            </w:tcMar>
          </w:tcPr>
          <w:p>
            <w:pPr>
              <w:jc w:val="center"/>
            </w:pPr>
            <w:r>
              <w:rPr>
                <w:b/>
                <w:color w:val="FFFFFF"/>
                <w:sz w:val="20"/>
              </w:rPr>
              <w:t>Hạng mục / Gói thầu</w:t>
            </w:r>
          </w:p>
        </w:tc>
        <w:tc>
          <w:tcPr>
            <w:tcW w:type="dxa" w:w="1608"/>
            <w:shd w:fill="1F4E79"/>
            <w:tcMar>
              <w:top w:w="120" w:type="dxa"/>
              <w:bottom w:w="120" w:type="dxa"/>
              <w:left w:w="100" w:type="dxa"/>
              <w:right w:w="100" w:type="dxa"/>
            </w:tcMar>
          </w:tcPr>
          <w:p>
            <w:pPr>
              <w:jc w:val="center"/>
            </w:pPr>
            <w:r>
              <w:rPr>
                <w:b/>
                <w:color w:val="FFFFFF"/>
                <w:sz w:val="20"/>
              </w:rPr>
              <w:t>Giá trị Dự toán (VNĐ)</w:t>
            </w:r>
          </w:p>
        </w:tc>
        <w:tc>
          <w:tcPr>
            <w:tcW w:type="dxa" w:w="1608"/>
            <w:shd w:fill="1F4E79"/>
            <w:tcMar>
              <w:top w:w="120" w:type="dxa"/>
              <w:bottom w:w="120" w:type="dxa"/>
              <w:left w:w="100" w:type="dxa"/>
              <w:right w:w="100" w:type="dxa"/>
            </w:tcMar>
          </w:tcPr>
          <w:p>
            <w:pPr>
              <w:jc w:val="center"/>
            </w:pPr>
            <w:r>
              <w:rPr>
                <w:b/>
                <w:color w:val="FFFFFF"/>
                <w:sz w:val="20"/>
              </w:rPr>
              <w:t>Giá trị Thẩm tra (VNĐ)</w:t>
            </w:r>
          </w:p>
        </w:tc>
        <w:tc>
          <w:tcPr>
            <w:tcW w:type="dxa" w:w="1608"/>
            <w:shd w:fill="1F4E79"/>
            <w:tcMar>
              <w:top w:w="120" w:type="dxa"/>
              <w:bottom w:w="120" w:type="dxa"/>
              <w:left w:w="100" w:type="dxa"/>
              <w:right w:w="100" w:type="dxa"/>
            </w:tcMar>
          </w:tcPr>
          <w:p>
            <w:pPr>
              <w:jc w:val="center"/>
            </w:pPr>
            <w:r>
              <w:rPr>
                <w:b/>
                <w:color w:val="FFFFFF"/>
                <w:sz w:val="20"/>
              </w:rPr>
              <w:t>Giá trị Giảm trừ (VNĐ)</w:t>
            </w:r>
          </w:p>
        </w:tc>
        <w:tc>
          <w:tcPr>
            <w:tcW w:type="dxa" w:w="1608"/>
            <w:shd w:fill="1F4E79"/>
            <w:tcMar>
              <w:top w:w="120" w:type="dxa"/>
              <w:bottom w:w="120" w:type="dxa"/>
              <w:left w:w="100" w:type="dxa"/>
              <w:right w:w="100" w:type="dxa"/>
            </w:tcMar>
          </w:tcPr>
          <w:p>
            <w:pPr>
              <w:jc w:val="center"/>
            </w:pPr>
            <w:r>
              <w:rPr>
                <w:b/>
                <w:color w:val="FFFFFF"/>
                <w:sz w:val="20"/>
              </w:rPr>
              <w:t>Tỷ lệ (%)</w:t>
            </w:r>
          </w:p>
        </w:tc>
      </w:tr>
      <w:tr>
        <w:tc>
          <w:tcPr>
            <w:tcW w:type="dxa" w:w="1608"/>
            <w:tcMar>
              <w:top w:w="80" w:type="dxa"/>
              <w:bottom w:w="80" w:type="dxa"/>
              <w:left w:w="80" w:type="dxa"/>
              <w:right w:w="80" w:type="dxa"/>
            </w:tcMar>
            <w:shd w:fill="FFFFFF"/>
          </w:tcPr>
          <w:p>
            <w:pPr>
              <w:jc w:val="center"/>
            </w:pPr>
            <w:r>
              <w:t>1</w:t>
            </w:r>
          </w:p>
        </w:tc>
        <w:tc>
          <w:tcPr>
            <w:tcW w:type="dxa" w:w="1608"/>
            <w:tcMar>
              <w:top w:w="80" w:type="dxa"/>
              <w:bottom w:w="80" w:type="dxa"/>
              <w:left w:w="80" w:type="dxa"/>
              <w:right w:w="80" w:type="dxa"/>
            </w:tcMar>
            <w:shd w:fill="FFFFFF"/>
          </w:tcPr>
          <w:p>
            <w:pPr>
              <w:jc w:val="left"/>
            </w:pPr>
            <w:r>
              <w:t>BPTC</w:t>
            </w:r>
          </w:p>
        </w:tc>
        <w:tc>
          <w:tcPr>
            <w:tcW w:type="dxa" w:w="1608"/>
            <w:tcMar>
              <w:top w:w="80" w:type="dxa"/>
              <w:bottom w:w="80" w:type="dxa"/>
              <w:left w:w="80" w:type="dxa"/>
              <w:right w:w="80" w:type="dxa"/>
            </w:tcMar>
            <w:shd w:fill="FFFFFF"/>
          </w:tcPr>
          <w:p>
            <w:pPr>
              <w:jc w:val="right"/>
            </w:pPr>
            <w:r>
              <w:rPr>
                <w:sz w:val="20"/>
              </w:rPr>
              <w:t>26,562,774,774</w:t>
            </w:r>
          </w:p>
        </w:tc>
        <w:tc>
          <w:tcPr>
            <w:tcW w:type="dxa" w:w="1608"/>
            <w:tcMar>
              <w:top w:w="80" w:type="dxa"/>
              <w:bottom w:w="80" w:type="dxa"/>
              <w:left w:w="80" w:type="dxa"/>
              <w:right w:w="80" w:type="dxa"/>
            </w:tcMar>
            <w:shd w:fill="FFFFFF"/>
          </w:tcPr>
          <w:p>
            <w:pPr>
              <w:jc w:val="right"/>
            </w:pPr>
            <w:r>
              <w:rPr>
                <w:sz w:val="20"/>
              </w:rPr>
              <w:t>26,107,590,271</w:t>
            </w:r>
          </w:p>
        </w:tc>
        <w:tc>
          <w:tcPr>
            <w:tcW w:type="dxa" w:w="1608"/>
            <w:tcMar>
              <w:top w:w="80" w:type="dxa"/>
              <w:bottom w:w="80" w:type="dxa"/>
              <w:left w:w="80" w:type="dxa"/>
              <w:right w:w="80" w:type="dxa"/>
            </w:tcMar>
            <w:shd w:fill="FFFFFF"/>
          </w:tcPr>
          <w:p>
            <w:pPr>
              <w:jc w:val="right"/>
            </w:pPr>
            <w:r>
              <w:rPr>
                <w:b/>
                <w:color w:val="C00000"/>
                <w:sz w:val="20"/>
              </w:rPr>
              <w:t>455,184,503</w:t>
            </w:r>
          </w:p>
        </w:tc>
        <w:tc>
          <w:tcPr>
            <w:tcW w:type="dxa" w:w="1608"/>
            <w:tcMar>
              <w:top w:w="80" w:type="dxa"/>
              <w:bottom w:w="80" w:type="dxa"/>
              <w:left w:w="80" w:type="dxa"/>
              <w:right w:w="80" w:type="dxa"/>
            </w:tcMar>
            <w:shd w:fill="FFFFFF"/>
          </w:tcPr>
          <w:p>
            <w:pPr>
              <w:jc w:val="center"/>
            </w:pPr>
            <w:r>
              <w:t>1.71%</w:t>
            </w:r>
          </w:p>
        </w:tc>
      </w:tr>
      <w:tr>
        <w:tc>
          <w:tcPr>
            <w:tcW w:type="dxa" w:w="1608"/>
            <w:tcMar>
              <w:top w:w="80" w:type="dxa"/>
              <w:bottom w:w="80" w:type="dxa"/>
              <w:left w:w="80" w:type="dxa"/>
              <w:right w:w="80" w:type="dxa"/>
            </w:tcMar>
            <w:shd w:fill="F2F2F2"/>
          </w:tcPr>
          <w:p>
            <w:pPr>
              <w:jc w:val="center"/>
            </w:pPr>
            <w:r>
              <w:t>2</w:t>
            </w:r>
          </w:p>
        </w:tc>
        <w:tc>
          <w:tcPr>
            <w:tcW w:type="dxa" w:w="1608"/>
            <w:tcMar>
              <w:top w:w="80" w:type="dxa"/>
              <w:bottom w:w="80" w:type="dxa"/>
              <w:left w:w="80" w:type="dxa"/>
              <w:right w:w="80" w:type="dxa"/>
            </w:tcMar>
            <w:shd w:fill="F2F2F2"/>
          </w:tcPr>
          <w:p>
            <w:pPr>
              <w:jc w:val="left"/>
            </w:pPr>
            <w:r>
              <w:t>Chi phi ra pha bom min</w:t>
            </w:r>
          </w:p>
        </w:tc>
        <w:tc>
          <w:tcPr>
            <w:tcW w:type="dxa" w:w="1608"/>
            <w:tcMar>
              <w:top w:w="80" w:type="dxa"/>
              <w:bottom w:w="80" w:type="dxa"/>
              <w:left w:w="80" w:type="dxa"/>
              <w:right w:w="80" w:type="dxa"/>
            </w:tcMar>
            <w:shd w:fill="F2F2F2"/>
          </w:tcPr>
          <w:p>
            <w:pPr>
              <w:jc w:val="right"/>
            </w:pPr>
            <w:r>
              <w:rPr>
                <w:sz w:val="20"/>
              </w:rPr>
              <w:t>152,740,595</w:t>
            </w:r>
          </w:p>
        </w:tc>
        <w:tc>
          <w:tcPr>
            <w:tcW w:type="dxa" w:w="1608"/>
            <w:tcMar>
              <w:top w:w="80" w:type="dxa"/>
              <w:bottom w:w="80" w:type="dxa"/>
              <w:left w:w="80" w:type="dxa"/>
              <w:right w:w="80" w:type="dxa"/>
            </w:tcMar>
            <w:shd w:fill="F2F2F2"/>
          </w:tcPr>
          <w:p>
            <w:pPr>
              <w:jc w:val="right"/>
            </w:pPr>
            <w:r>
              <w:rPr>
                <w:sz w:val="20"/>
              </w:rPr>
              <w:t>152,740,595</w:t>
            </w:r>
          </w:p>
        </w:tc>
        <w:tc>
          <w:tcPr>
            <w:tcW w:type="dxa" w:w="1608"/>
            <w:tcMar>
              <w:top w:w="80" w:type="dxa"/>
              <w:bottom w:w="80" w:type="dxa"/>
              <w:left w:w="80" w:type="dxa"/>
              <w:right w:w="80" w:type="dxa"/>
            </w:tcMar>
            <w:shd w:fill="F2F2F2"/>
          </w:tcPr>
          <w:p>
            <w:pPr>
              <w:jc w:val="right"/>
            </w:pPr>
            <w:r>
              <w:rPr>
                <w:b/>
                <w:color w:val="C00000"/>
                <w:sz w:val="20"/>
              </w:rPr>
              <w:t>0</w:t>
            </w:r>
          </w:p>
        </w:tc>
        <w:tc>
          <w:tcPr>
            <w:tcW w:type="dxa" w:w="1608"/>
            <w:tcMar>
              <w:top w:w="80" w:type="dxa"/>
              <w:bottom w:w="80" w:type="dxa"/>
              <w:left w:w="80" w:type="dxa"/>
              <w:right w:w="80" w:type="dxa"/>
            </w:tcMar>
            <w:shd w:fill="F2F2F2"/>
          </w:tcPr>
          <w:p>
            <w:pPr>
              <w:jc w:val="center"/>
            </w:pPr>
            <w:r>
              <w:t>0.00%</w:t>
            </w:r>
          </w:p>
        </w:tc>
      </w:tr>
      <w:tr>
        <w:tc>
          <w:tcPr>
            <w:tcW w:type="dxa" w:w="1608"/>
            <w:tcMar>
              <w:top w:w="80" w:type="dxa"/>
              <w:bottom w:w="80" w:type="dxa"/>
              <w:left w:w="80" w:type="dxa"/>
              <w:right w:w="80" w:type="dxa"/>
            </w:tcMar>
            <w:shd w:fill="FFFFFF"/>
          </w:tcPr>
          <w:p>
            <w:pPr>
              <w:jc w:val="center"/>
            </w:pPr>
            <w:r>
              <w:t>3</w:t>
            </w:r>
          </w:p>
        </w:tc>
        <w:tc>
          <w:tcPr>
            <w:tcW w:type="dxa" w:w="1608"/>
            <w:tcMar>
              <w:top w:w="80" w:type="dxa"/>
              <w:bottom w:w="80" w:type="dxa"/>
              <w:left w:w="80" w:type="dxa"/>
              <w:right w:w="80" w:type="dxa"/>
            </w:tcMar>
            <w:shd w:fill="FFFFFF"/>
          </w:tcPr>
          <w:p>
            <w:pPr>
              <w:jc w:val="left"/>
            </w:pPr>
            <w:r>
              <w:t>DHKK KHOI DE</w:t>
            </w:r>
          </w:p>
        </w:tc>
        <w:tc>
          <w:tcPr>
            <w:tcW w:type="dxa" w:w="1608"/>
            <w:tcMar>
              <w:top w:w="80" w:type="dxa"/>
              <w:bottom w:w="80" w:type="dxa"/>
              <w:left w:w="80" w:type="dxa"/>
              <w:right w:w="80" w:type="dxa"/>
            </w:tcMar>
            <w:shd w:fill="FFFFFF"/>
          </w:tcPr>
          <w:p>
            <w:pPr>
              <w:jc w:val="right"/>
            </w:pPr>
            <w:r>
              <w:rPr>
                <w:sz w:val="20"/>
              </w:rPr>
              <w:t>16,557,213,176</w:t>
            </w:r>
          </w:p>
        </w:tc>
        <w:tc>
          <w:tcPr>
            <w:tcW w:type="dxa" w:w="1608"/>
            <w:tcMar>
              <w:top w:w="80" w:type="dxa"/>
              <w:bottom w:w="80" w:type="dxa"/>
              <w:left w:w="80" w:type="dxa"/>
              <w:right w:w="80" w:type="dxa"/>
            </w:tcMar>
            <w:shd w:fill="FFFFFF"/>
          </w:tcPr>
          <w:p>
            <w:pPr>
              <w:jc w:val="right"/>
            </w:pPr>
            <w:r>
              <w:rPr>
                <w:sz w:val="20"/>
              </w:rPr>
              <w:t>13,323,916,176</w:t>
            </w:r>
          </w:p>
        </w:tc>
        <w:tc>
          <w:tcPr>
            <w:tcW w:type="dxa" w:w="1608"/>
            <w:tcMar>
              <w:top w:w="80" w:type="dxa"/>
              <w:bottom w:w="80" w:type="dxa"/>
              <w:left w:w="80" w:type="dxa"/>
              <w:right w:w="80" w:type="dxa"/>
            </w:tcMar>
            <w:shd w:fill="FFFFFF"/>
          </w:tcPr>
          <w:p>
            <w:pPr>
              <w:jc w:val="right"/>
            </w:pPr>
            <w:r>
              <w:rPr>
                <w:b/>
                <w:color w:val="C00000"/>
                <w:sz w:val="20"/>
              </w:rPr>
              <w:t>3,233,297,000</w:t>
            </w:r>
          </w:p>
        </w:tc>
        <w:tc>
          <w:tcPr>
            <w:tcW w:type="dxa" w:w="1608"/>
            <w:tcMar>
              <w:top w:w="80" w:type="dxa"/>
              <w:bottom w:w="80" w:type="dxa"/>
              <w:left w:w="80" w:type="dxa"/>
              <w:right w:w="80" w:type="dxa"/>
            </w:tcMar>
            <w:shd w:fill="FFFFFF"/>
          </w:tcPr>
          <w:p>
            <w:pPr>
              <w:jc w:val="center"/>
            </w:pPr>
            <w:r>
              <w:t>19.53%</w:t>
            </w:r>
          </w:p>
        </w:tc>
      </w:tr>
      <w:tr>
        <w:tc>
          <w:tcPr>
            <w:tcW w:type="dxa" w:w="1608"/>
            <w:tcMar>
              <w:top w:w="80" w:type="dxa"/>
              <w:bottom w:w="80" w:type="dxa"/>
              <w:left w:w="80" w:type="dxa"/>
              <w:right w:w="80" w:type="dxa"/>
            </w:tcMar>
            <w:shd w:fill="F2F2F2"/>
          </w:tcPr>
          <w:p>
            <w:pPr>
              <w:jc w:val="center"/>
            </w:pPr>
            <w:r>
              <w:t>4</w:t>
            </w:r>
          </w:p>
        </w:tc>
        <w:tc>
          <w:tcPr>
            <w:tcW w:type="dxa" w:w="1608"/>
            <w:tcMar>
              <w:top w:w="80" w:type="dxa"/>
              <w:bottom w:w="80" w:type="dxa"/>
              <w:left w:w="80" w:type="dxa"/>
              <w:right w:w="80" w:type="dxa"/>
            </w:tcMar>
            <w:shd w:fill="F2F2F2"/>
          </w:tcPr>
          <w:p>
            <w:pPr>
              <w:jc w:val="left"/>
            </w:pPr>
            <w:r>
              <w:t>HOAN THIEN MAT DUNG</w:t>
            </w:r>
          </w:p>
        </w:tc>
        <w:tc>
          <w:tcPr>
            <w:tcW w:type="dxa" w:w="1608"/>
            <w:tcMar>
              <w:top w:w="80" w:type="dxa"/>
              <w:bottom w:w="80" w:type="dxa"/>
              <w:left w:w="80" w:type="dxa"/>
              <w:right w:w="80" w:type="dxa"/>
            </w:tcMar>
            <w:shd w:fill="F2F2F2"/>
          </w:tcPr>
          <w:p>
            <w:pPr>
              <w:jc w:val="right"/>
            </w:pPr>
            <w:r>
              <w:rPr>
                <w:sz w:val="20"/>
              </w:rPr>
              <w:t>87,991,923,671</w:t>
            </w:r>
          </w:p>
        </w:tc>
        <w:tc>
          <w:tcPr>
            <w:tcW w:type="dxa" w:w="1608"/>
            <w:tcMar>
              <w:top w:w="80" w:type="dxa"/>
              <w:bottom w:w="80" w:type="dxa"/>
              <w:left w:w="80" w:type="dxa"/>
              <w:right w:w="80" w:type="dxa"/>
            </w:tcMar>
            <w:shd w:fill="F2F2F2"/>
          </w:tcPr>
          <w:p>
            <w:pPr>
              <w:jc w:val="right"/>
            </w:pPr>
            <w:r>
              <w:rPr>
                <w:sz w:val="20"/>
              </w:rPr>
              <w:t>83,892,507,207</w:t>
            </w:r>
          </w:p>
        </w:tc>
        <w:tc>
          <w:tcPr>
            <w:tcW w:type="dxa" w:w="1608"/>
            <w:tcMar>
              <w:top w:w="80" w:type="dxa"/>
              <w:bottom w:w="80" w:type="dxa"/>
              <w:left w:w="80" w:type="dxa"/>
              <w:right w:w="80" w:type="dxa"/>
            </w:tcMar>
            <w:shd w:fill="F2F2F2"/>
          </w:tcPr>
          <w:p>
            <w:pPr>
              <w:jc w:val="right"/>
            </w:pPr>
            <w:r>
              <w:rPr>
                <w:b/>
                <w:color w:val="C00000"/>
                <w:sz w:val="20"/>
              </w:rPr>
              <w:t>4,099,416,464</w:t>
            </w:r>
          </w:p>
        </w:tc>
        <w:tc>
          <w:tcPr>
            <w:tcW w:type="dxa" w:w="1608"/>
            <w:tcMar>
              <w:top w:w="80" w:type="dxa"/>
              <w:bottom w:w="80" w:type="dxa"/>
              <w:left w:w="80" w:type="dxa"/>
              <w:right w:w="80" w:type="dxa"/>
            </w:tcMar>
            <w:shd w:fill="F2F2F2"/>
          </w:tcPr>
          <w:p>
            <w:pPr>
              <w:jc w:val="center"/>
            </w:pPr>
            <w:r>
              <w:t>4.66%</w:t>
            </w:r>
          </w:p>
        </w:tc>
      </w:tr>
      <w:tr>
        <w:tc>
          <w:tcPr>
            <w:tcW w:type="dxa" w:w="1608"/>
            <w:shd w:fill="D9E1F2"/>
            <w:tcMar>
              <w:top w:w="100" w:type="dxa"/>
              <w:bottom w:w="100" w:type="dxa"/>
              <w:left w:w="100" w:type="dxa"/>
              <w:right w:w="100" w:type="dxa"/>
            </w:tcMar>
          </w:tcPr>
          <w:p>
            <w:r/>
          </w:p>
        </w:tc>
        <w:tc>
          <w:tcPr>
            <w:tcW w:type="dxa" w:w="1608"/>
            <w:shd w:fill="D9E1F2"/>
            <w:tcMar>
              <w:top w:w="100" w:type="dxa"/>
              <w:bottom w:w="100" w:type="dxa"/>
              <w:left w:w="100" w:type="dxa"/>
              <w:right w:w="100" w:type="dxa"/>
            </w:tcMar>
          </w:tcPr>
          <w:p>
            <w:r>
              <w:rPr>
                <w:b/>
              </w:rPr>
              <w:t>TỔNG CỘNG CÁC GÓI THẦU:</w:t>
            </w:r>
          </w:p>
        </w:tc>
        <w:tc>
          <w:tcPr>
            <w:tcW w:type="dxa" w:w="1608"/>
            <w:shd w:fill="D9E1F2"/>
            <w:tcMar>
              <w:top w:w="100" w:type="dxa"/>
              <w:bottom w:w="100" w:type="dxa"/>
              <w:left w:w="100" w:type="dxa"/>
              <w:right w:w="100" w:type="dxa"/>
            </w:tcMar>
          </w:tcPr>
          <w:p>
            <w:pPr>
              <w:jc w:val="right"/>
            </w:pPr>
            <w:r>
              <w:rPr>
                <w:b/>
                <w:sz w:val="21"/>
              </w:rPr>
              <w:t>131,264,652,216</w:t>
            </w:r>
          </w:p>
        </w:tc>
        <w:tc>
          <w:tcPr>
            <w:tcW w:type="dxa" w:w="1608"/>
            <w:shd w:fill="D9E1F2"/>
            <w:tcMar>
              <w:top w:w="100" w:type="dxa"/>
              <w:bottom w:w="100" w:type="dxa"/>
              <w:left w:w="100" w:type="dxa"/>
              <w:right w:w="100" w:type="dxa"/>
            </w:tcMar>
          </w:tcPr>
          <w:p>
            <w:pPr>
              <w:jc w:val="right"/>
            </w:pPr>
            <w:r>
              <w:rPr>
                <w:b/>
                <w:sz w:val="21"/>
              </w:rPr>
              <w:t>123,476,754,249</w:t>
            </w:r>
          </w:p>
        </w:tc>
        <w:tc>
          <w:tcPr>
            <w:tcW w:type="dxa" w:w="1608"/>
            <w:shd w:fill="D9E1F2"/>
            <w:tcMar>
              <w:top w:w="100" w:type="dxa"/>
              <w:bottom w:w="100" w:type="dxa"/>
              <w:left w:w="100" w:type="dxa"/>
              <w:right w:w="100" w:type="dxa"/>
            </w:tcMar>
          </w:tcPr>
          <w:p>
            <w:pPr>
              <w:jc w:val="right"/>
            </w:pPr>
            <w:r>
              <w:rPr>
                <w:b/>
                <w:color w:val="C00000"/>
                <w:sz w:val="21"/>
              </w:rPr>
              <w:t>7,787,897,967</w:t>
            </w:r>
          </w:p>
        </w:tc>
        <w:tc>
          <w:tcPr>
            <w:tcW w:type="dxa" w:w="1608"/>
            <w:shd w:fill="D9E1F2"/>
            <w:tcMar>
              <w:top w:w="100" w:type="dxa"/>
              <w:bottom w:w="100" w:type="dxa"/>
              <w:left w:w="100" w:type="dxa"/>
              <w:right w:w="100" w:type="dxa"/>
            </w:tcMar>
          </w:tcPr>
          <w:p>
            <w:pPr>
              <w:jc w:val="center"/>
            </w:pPr>
            <w:r>
              <w:rPr>
                <w:b/>
                <w:sz w:val="21"/>
              </w:rPr>
              <w:t>5.93%</w:t>
            </w:r>
          </w:p>
        </w:tc>
      </w:tr>
    </w:tbl>
    <w:p>
      <w:pPr>
        <w:spacing w:after="120"/>
      </w:pPr>
    </w:p>
    <w:p>
      <w:r>
        <w:rPr>
          <w:b/>
          <w:sz w:val="23"/>
        </w:rPr>
        <w:t>Nguyên nhân giảm trừ chi phí (-7,787,897,967 đồng):</w:t>
      </w:r>
    </w:p>
    <w:p>
      <w:pPr>
        <w:pStyle w:val="ListBullet"/>
        <w:spacing w:after="60"/>
      </w:pPr>
      <w:r>
        <w:t>Hạng mục Hoàn thiện mặt ngoài (-4.099.416.464 đ): Đơn giá vách kính khung nhôm hệ 65 kính hộp Low-E trong dự toán áp 5.213.250 đ/m2 (vật liệu), cao hơn báo giá nhà sản xuất 4.850.000 đ/m2 (+363.250 đ/m2); Đơn giá tấm ốp composite áp 3.834.600 đ/m2, cao hơn báo giá 3.650.000 đ/m2 (+184.600 đ/m2).</w:t>
      </w:r>
    </w:p>
    <w:p>
      <w:pPr>
        <w:pStyle w:val="ListBullet"/>
        <w:spacing w:after="60"/>
      </w:pPr>
      <w:r>
        <w:t>Hạng mục Điều hòa không khí &amp; Thông gió (-3.233.297.000 đ): Toàn bộ 8 tổ máy dàn nóng VRF và các dàn lạnh cassette/âm trần trong hồ sơ dự toán áp đơn giá tạm tính cao hơn giá công bố chính thức của Daikin Việt Nam từ 6,7 triệu đến 39 triệu đồng mỗi máy/bộ.</w:t>
      </w:r>
    </w:p>
    <w:p>
      <w:pPr>
        <w:pStyle w:val="ListBullet"/>
        <w:spacing w:after="60"/>
      </w:pPr>
      <w:r>
        <w:t>Hạng mục Biện pháp thi công Kingpost (-455.184.503 đ): Đơn giá thép hình gia công cọc Kingpost trong dự toán tính 19.363.541 đ/tấn, cao hơn công bố giá thép Posco Yamato (18.500.000 đ/tấn); Đinh chống cắt D19 áp 40.000 đ/cái cao hơn báo giá 32.000 đ/cái; Vữa không co ngót B40 áp cao hơn 3,2 triệu đ/m3.</w:t>
      </w:r>
    </w:p>
    <w:p>
      <w:pPr>
        <w:spacing w:before="120" w:after="60"/>
      </w:pPr>
      <w:r>
        <w:rPr>
          <w:b/>
          <w:sz w:val="24"/>
        </w:rPr>
        <w:t>3.4. Đánh giá sự phù hợp với Tổng mức đầu tư xây dựng được phê duyệt (Mục 5.4)</w:t>
      </w:r>
    </w:p>
    <w:p>
      <w:pPr>
        <w:spacing w:after="160"/>
      </w:pPr>
      <w:r>
        <w:t>Căn cứ hồ sơ Tổng mức đầu tư xây dựng công trình (File 'TMDT NOXH C4.xls') đã được cấp có thẩm quyền phê duyệt là: 1,395,500,000,000 đồng (1.395,5 tỷ đồng), trong đó cơ cấu chi phí gồm:</w:t>
        <w:br/>
        <w:t>- Chi phí xây dựng sau thuế: 952.744.535.326 đồng.</w:t>
        <w:br/>
        <w:t>- Chi phí thiết bị sau thuế: 172.681.321.922 đồng.</w:t>
        <w:br/>
        <w:t>- Chi phí quản lý dự án, tư vấn, chi phí khác &amp; dự phòng: 270.074.142.752 đồng.</w:t>
        <w:br/>
        <w:br/>
        <w:t>Đối chiếu tổng giá trị các gói thầu thi công xây dựng và thiết bị sau thẩm tra là 123,476,754,249 đồng, kết quả cho thấy:</w:t>
        <w:br/>
        <w:t>1. Toàn bộ các gói thầu sau thẩm tra đều nằm hoàn toàn trong phạm vi cơ cấu chi phí xây dựng và thiết bị của Tổng mức đầu tư được duyệt.</w:t>
        <w:br/>
        <w:t>2. Việc thẩm tra, rà soát chi tiết theo Thông tư 38/2026/TT-BXD và báo giá thị trường đã giúp tiết giảm cho Chủ đầu tư số tiền 7,787,897,967 đồng (tiết kiệm 5.93%), nâng cao hiệu quả sử dụng vốn đầu tư và tuân thủ chặt chẽ pháp luật.</w:t>
      </w:r>
    </w:p>
    <w:p>
      <w:pPr>
        <w:spacing w:before="160" w:after="80"/>
      </w:pPr>
      <w:r>
        <w:rPr>
          <w:b/>
          <w:color w:val="1F4E79"/>
          <w:sz w:val="26"/>
        </w:rPr>
        <w:t>4. KẾT LUẬN VÀ KIẾN NGHỊ</w:t>
      </w:r>
    </w:p>
    <w:p>
      <w:pPr>
        <w:pStyle w:val="ListBullet"/>
        <w:spacing w:after="60"/>
      </w:pPr>
      <w:r>
        <w:t>Hồ sơ dự toán đã được hoàn thiện thẩm tra, chuẩn hóa liên kết tra cứu trực tiếp đến 8 Phụ lục của Thông tư số 38/2026/TT-BXD và các file báo giá vật tư, thiết bị.</w:t>
      </w:r>
    </w:p>
    <w:p>
      <w:pPr>
        <w:pStyle w:val="ListBullet"/>
        <w:spacing w:after="60"/>
      </w:pPr>
      <w:r>
        <w:t>Giá trị dự toán đề nghị Chủ đầu tư xem xét phê duyệt sau thẩm tra là: 123,476,754,249 đồng (Bằng chữ: Một trăm hai mươi ba tỷ, ba trăm hai mươi bốn triệu, không trăm mười ba nghìn, sáu trăm năm mươi tư đồng).</w:t>
      </w:r>
    </w:p>
    <w:p>
      <w:pPr>
        <w:pStyle w:val="ListBullet"/>
        <w:spacing w:after="60"/>
      </w:pPr>
      <w:r>
        <w:t>Giá trị giảm trừ so với dự toán do Tư vấn lập là: 7,787,897,967 đồng (giảm 5.93%).</w:t>
      </w:r>
    </w:p>
    <w:p>
      <w:pPr>
        <w:pStyle w:val="ListBullet"/>
        <w:spacing w:after="60"/>
      </w:pPr>
      <w:r>
        <w:t>Đề nghị Ban QLDA và Chủ đầu tư yêu cầu Đơn vị Tư vấn cập nhật lại dự toán theo kết quả thẩm tra này trước khi tiến hành các bước lựa chọn nhà thầu.</w:t>
      </w:r>
    </w:p>
    <w:p>
      <w:pPr>
        <w:spacing w:after="240"/>
      </w:pPr>
    </w:p>
    <w:tbl>
      <w:tblPr>
        <w:tblW w:type="auto" w:w="0"/>
        <w:jc w:val="center"/>
        <w:tblLayout w:type="fixed"/>
        <w:tblLook w:firstColumn="1" w:firstRow="1" w:lastColumn="0" w:lastRow="0" w:noHBand="0" w:noVBand="1" w:val="04A0"/>
      </w:tblPr>
      <w:tblGrid>
        <w:gridCol w:w="4824"/>
        <w:gridCol w:w="4824"/>
      </w:tblGrid>
      <w:tr>
        <w:tc>
          <w:tcPr>
            <w:tcW w:type="dxa" w:w="4824"/>
          </w:tcPr>
          <w:p>
            <w:pPr>
              <w:jc w:val="center"/>
            </w:pPr>
            <w:r>
              <w:rPr>
                <w:b/>
                <w:sz w:val="22"/>
              </w:rPr>
              <w:t>CÁN BỘ THẨM TRA DỰ TOÁN</w:t>
              <w:br/>
              <w:t>(Ký và ghi rõ họ tên)</w:t>
            </w:r>
          </w:p>
        </w:tc>
        <w:tc>
          <w:tcPr>
            <w:tcW w:type="dxa" w:w="4824"/>
          </w:tcPr>
          <w:p>
            <w:pPr>
              <w:jc w:val="center"/>
            </w:pPr>
            <w:r>
              <w:rPr>
                <w:b/>
                <w:sz w:val="22"/>
              </w:rPr>
              <w:t>ĐẠI DIỆN ĐƠN VỊ THẨM TRA</w:t>
              <w:br/>
              <w:t>(Ký tên, đóng dấu)</w:t>
            </w:r>
          </w:p>
        </w:tc>
      </w:tr>
      <w:tr>
        <w:tc>
          <w:tcPr>
            <w:tcW w:type="dxa" w:w="4824"/>
          </w:tcPr>
          <w:p>
            <w:pPr>
              <w:spacing w:before="900"/>
              <w:jc w:val="center"/>
            </w:pPr>
            <w:r>
              <w:rPr>
                <w:i/>
              </w:rPr>
              <w:t>Kỹ sư Định giá Xây dựng</w:t>
            </w:r>
          </w:p>
        </w:tc>
        <w:tc>
          <w:tcPr>
            <w:tcW w:type="dxa" w:w="4824"/>
          </w:tcPr>
          <w:p>
            <w:pPr>
              <w:spacing w:before="900"/>
              <w:jc w:val="center"/>
            </w:pPr>
            <w:r>
              <w:rPr>
                <w:b/>
              </w:rPr>
              <w:t>Giám đốc Đơn vị Thẩm tra</w:t>
            </w:r>
          </w:p>
        </w:tc>
      </w:tr>
    </w:tbl>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