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jc w:val="center"/>
      </w:pPr>
      <w:r>
        <w:t>TRƯỜNG ĐẠI HỌC ...</w:t>
        <w:br/>
        <w:t>KHOA CÔNG NGHỆ THÔNG TIN</w:t>
      </w:r>
    </w:p>
    <w:p>
      <w:r>
        <w:br/>
        <w:br/>
      </w:r>
    </w:p>
    <w:p>
      <w:pPr>
        <w:jc w:val="center"/>
      </w:pPr>
      <w:r>
        <w:t>BÀI TẬP LỚN</w:t>
        <w:br/>
        <w:t>HỌC PHẦN: ĐỒ ÁN CHUYÊN NGÀNH CÔNG NGHỆ PHẦN MỀM</w:t>
      </w:r>
    </w:p>
    <w:p>
      <w:r>
        <w:br/>
      </w:r>
    </w:p>
    <w:p>
      <w:pPr>
        <w:jc w:val="center"/>
      </w:pPr>
      <w:r>
        <w:rPr>
          <w:b/>
          <w:sz w:val="32"/>
        </w:rPr>
        <w:t>TÊN ĐỀ TÀI: XÂY DỰNG WEBSITE QUẢN LÝ BÁN VĂN PHÒNG PHẨM "THE STATIONERY MUSE"</w:t>
      </w:r>
    </w:p>
    <w:p>
      <w:r>
        <w:br/>
        <w:br/>
        <w:br/>
        <w:br/>
        <w:br/>
        <w:br/>
        <w:br/>
        <w:br/>
        <w:br/>
      </w:r>
    </w:p>
    <w:p>
      <w:pPr>
        <w:jc w:val="center"/>
      </w:pPr>
      <w:r>
        <w:t>Sinh viên thực hiện: ...</w:t>
        <w:br/>
        <w:t>Giảng viên hướng dẫn: ...</w:t>
      </w:r>
    </w:p>
    <w:p>
      <w:r>
        <w:br w:type="page"/>
      </w:r>
    </w:p>
    <w:p>
      <w:pPr>
        <w:pStyle w:val="Heading1"/>
      </w:pPr>
      <w:r>
        <w:t>MỤC LỤC</w:t>
      </w:r>
    </w:p>
    <w:p>
      <w:r>
        <w:t>CHƯƠNG I: TỔNG QUAN VỀ ĐỀ TÀI</w:t>
      </w:r>
    </w:p>
    <w:p>
      <w:r>
        <w:t xml:space="preserve">  1.1. Lý do chọn đề tài</w:t>
      </w:r>
    </w:p>
    <w:p>
      <w:r>
        <w:t xml:space="preserve">  1.2. Mục tiêu của đề tài</w:t>
      </w:r>
    </w:p>
    <w:p>
      <w:r>
        <w:t>CHƯƠNG II: CÔNG NGHỆ VÀ NGÔN NGỮ SỬ DỤNG (LARAVEL)</w:t>
      </w:r>
    </w:p>
    <w:p>
      <w:r>
        <w:t>CHƯƠNG III: YÊU CẦU HỆ THỐNG VÀ THIẾT KẾ</w:t>
      </w:r>
    </w:p>
    <w:p>
      <w:r>
        <w:t xml:space="preserve">  3.1. Sơ đồ Usecase</w:t>
      </w:r>
    </w:p>
    <w:p>
      <w:r>
        <w:t xml:space="preserve">  3.2. Sơ đồ Hoạt động</w:t>
      </w:r>
    </w:p>
    <w:p>
      <w:r>
        <w:t xml:space="preserve">  3.3. Sơ đồ Tuần tự</w:t>
      </w:r>
    </w:p>
    <w:p>
      <w:r>
        <w:t>CHƯƠNG IV: CẤU TRÚC CƠ SỞ DỮ LIỆU &amp; ERD</w:t>
      </w:r>
    </w:p>
    <w:p>
      <w:r>
        <w:t>CHƯƠNG V: KẾT LUẬN</w:t>
      </w:r>
    </w:p>
    <w:p>
      <w:r>
        <w:br w:type="page"/>
      </w:r>
    </w:p>
    <w:p>
      <w:pPr>
        <w:pStyle w:val="Heading1"/>
      </w:pPr>
      <w:r>
        <w:t>CHƯƠNG I: TỔNG QUAN VỀ ĐỀ TÀI</w:t>
      </w:r>
    </w:p>
    <w:p>
      <w:pPr>
        <w:pStyle w:val="Heading2"/>
      </w:pPr>
      <w:r>
        <w:t>1.1. Lý do chọn đề tài</w:t>
      </w:r>
    </w:p>
    <w:p>
      <w:r>
        <w:t>Trong thời đại số hóa, thương mại điện tử giúp doanh nghiệp kinh doanh văn phòng phẩm quản lý tồn kho (Stock), đơn hàng, và khuyến mãi hiệu quả hơn so với truyền thống. "The Stationery Muse" được xây dựng để cung cấp công cụ tự động hóa toàn diện từ mua hàng, sử dụng Voucher, Flash sale, thanh toán online (VNPAY) cho Khách hàng.</w:t>
      </w:r>
    </w:p>
    <w:p>
      <w:pPr>
        <w:pStyle w:val="Heading2"/>
      </w:pPr>
      <w:r>
        <w:t>1.2. Mục tiêu</w:t>
      </w:r>
    </w:p>
    <w:p>
      <w:r>
        <w:t>Xây dựng hệ thống bằng Laravel MVC mạnh mẽ, MySQL, và Tailwind CSS với đầy đủ các nghiệp vụ thực tế như xử lí Oversell trong giỏ hàng, giảm giá sản phẩm sâu qua tính năng Voucher và Flash Sale.</w:t>
      </w:r>
    </w:p>
    <w:p>
      <w:pPr>
        <w:pStyle w:val="Heading1"/>
      </w:pPr>
      <w:r>
        <w:t>CHƯƠNG II: CÔNG NGHỆ VÀ NGÔN NGỮ SỬ DỤNG</w:t>
      </w:r>
    </w:p>
    <w:p>
      <w:r>
        <w:t>Dự án dựa trên Framework Laravel (được viết bằng ngôn ngữ PHP). Laravel hỗ trợ ORM (Eloquent) mạnh mẽ giúp xử lý dữ liệu dễ dàng, đi kèm với Blade View Engine làm hệ thống hiển thị dữ liệu web mượt mà. Phía frontend dùng cấu trúc Tailwind CSS để thiết kế diện mạo chuẩn UI/UX và responsive cùng Alpine.js xử lý các component linh hoạt.</w:t>
      </w:r>
    </w:p>
    <w:p>
      <w:pPr>
        <w:pStyle w:val="Heading1"/>
      </w:pPr>
      <w:r>
        <w:t>CHƯƠNG III: YÊU CẦU HỆ THỐNG VÀ THIẾT KẾ</w:t>
      </w:r>
    </w:p>
    <w:p>
      <w:pPr>
        <w:pStyle w:val="Heading2"/>
      </w:pPr>
      <w:r>
        <w:t>3.1 Sơ đồ Usecase Tổng quát</w:t>
      </w:r>
    </w:p>
    <w:p>
      <w:pPr>
        <w:pStyle w:val="Heading2"/>
      </w:pPr>
      <w:r>
        <w:t>3.2 Sơ đồ Hoạt động (Quy trình Thanh toán &amp; Đặt hàng)</w:t>
      </w:r>
    </w:p>
    <w:p>
      <w:r>
        <w:drawing>
          <wp:inline xmlns:a="http://schemas.openxmlformats.org/drawingml/2006/main" xmlns:pic="http://schemas.openxmlformats.org/drawingml/2006/picture">
            <wp:extent cx="4572000" cy="4792436"/>
            <wp:docPr id="1" name="Picture 1"/>
            <wp:cNvGraphicFramePr>
              <a:graphicFrameLocks noChangeAspect="1"/>
            </wp:cNvGraphicFramePr>
            <a:graphic>
              <a:graphicData uri="http://schemas.openxmlformats.org/drawingml/2006/picture">
                <pic:pic>
                  <pic:nvPicPr>
                    <pic:cNvPr id="0" name="act_diag.png"/>
                    <pic:cNvPicPr/>
                  </pic:nvPicPr>
                  <pic:blipFill>
                    <a:blip r:embed="rId9"/>
                    <a:stretch>
                      <a:fillRect/>
                    </a:stretch>
                  </pic:blipFill>
                  <pic:spPr>
                    <a:xfrm>
                      <a:off x="0" y="0"/>
                      <a:ext cx="4572000" cy="4792436"/>
                    </a:xfrm>
                    <a:prstGeom prst="rect"/>
                  </pic:spPr>
                </pic:pic>
              </a:graphicData>
            </a:graphic>
          </wp:inline>
        </w:drawing>
      </w:r>
    </w:p>
    <w:p>
      <w:pPr>
        <w:jc w:val="center"/>
      </w:pPr>
      <w:r>
        <w:t>Hình 2: Sơ đồ hoạt động đặt hàng và thanh toán</w:t>
      </w:r>
    </w:p>
    <w:p>
      <w:pPr>
        <w:pStyle w:val="Heading2"/>
      </w:pPr>
      <w:r>
        <w:t>3.3 Sơ đồ Tuần tự (Quy trình áp dụng Voucher &amp; Database)</w:t>
      </w:r>
    </w:p>
    <w:p>
      <w:r>
        <w:drawing>
          <wp:inline xmlns:a="http://schemas.openxmlformats.org/drawingml/2006/main" xmlns:pic="http://schemas.openxmlformats.org/drawingml/2006/picture">
            <wp:extent cx="5486400" cy="3398710"/>
            <wp:docPr id="2" name="Picture 2"/>
            <wp:cNvGraphicFramePr>
              <a:graphicFrameLocks noChangeAspect="1"/>
            </wp:cNvGraphicFramePr>
            <a:graphic>
              <a:graphicData uri="http://schemas.openxmlformats.org/drawingml/2006/picture">
                <pic:pic>
                  <pic:nvPicPr>
                    <pic:cNvPr id="0" name="seq_diag.png"/>
                    <pic:cNvPicPr/>
                  </pic:nvPicPr>
                  <pic:blipFill>
                    <a:blip r:embed="rId10"/>
                    <a:stretch>
                      <a:fillRect/>
                    </a:stretch>
                  </pic:blipFill>
                  <pic:spPr>
                    <a:xfrm>
                      <a:off x="0" y="0"/>
                      <a:ext cx="5486400" cy="3398710"/>
                    </a:xfrm>
                    <a:prstGeom prst="rect"/>
                  </pic:spPr>
                </pic:pic>
              </a:graphicData>
            </a:graphic>
          </wp:inline>
        </w:drawing>
      </w:r>
    </w:p>
    <w:p>
      <w:pPr>
        <w:jc w:val="center"/>
      </w:pPr>
      <w:r>
        <w:t>Hình 3: Sơ đồ tuần tự xử lý Voucher</w:t>
      </w:r>
    </w:p>
    <w:p>
      <w:r>
        <w:br w:type="page"/>
      </w:r>
    </w:p>
    <w:p>
      <w:pPr>
        <w:pStyle w:val="Heading1"/>
      </w:pPr>
      <w:r>
        <w:t>CHƯƠNG IV: CẤU TRÚC CƠ SỞ DỮ LIỆU &amp; ERD</w:t>
      </w:r>
    </w:p>
    <w:p>
      <w:pPr>
        <w:pStyle w:val="Heading2"/>
      </w:pPr>
      <w:r>
        <w:t>4.1 Sơ đồ Thực thể Liên kết (ERD)</w:t>
      </w:r>
    </w:p>
    <w:p>
      <w:r>
        <w:drawing>
          <wp:inline xmlns:a="http://schemas.openxmlformats.org/drawingml/2006/main" xmlns:pic="http://schemas.openxmlformats.org/drawingml/2006/picture">
            <wp:extent cx="4572000" cy="5245878"/>
            <wp:docPr id="3" name="Picture 3"/>
            <wp:cNvGraphicFramePr>
              <a:graphicFrameLocks noChangeAspect="1"/>
            </wp:cNvGraphicFramePr>
            <a:graphic>
              <a:graphicData uri="http://schemas.openxmlformats.org/drawingml/2006/picture">
                <pic:pic>
                  <pic:nvPicPr>
                    <pic:cNvPr id="0" name="erd_diag.png"/>
                    <pic:cNvPicPr/>
                  </pic:nvPicPr>
                  <pic:blipFill>
                    <a:blip r:embed="rId11"/>
                    <a:stretch>
                      <a:fillRect/>
                    </a:stretch>
                  </pic:blipFill>
                  <pic:spPr>
                    <a:xfrm>
                      <a:off x="0" y="0"/>
                      <a:ext cx="4572000" cy="5245878"/>
                    </a:xfrm>
                    <a:prstGeom prst="rect"/>
                  </pic:spPr>
                </pic:pic>
              </a:graphicData>
            </a:graphic>
          </wp:inline>
        </w:drawing>
      </w:r>
    </w:p>
    <w:p>
      <w:pPr>
        <w:jc w:val="center"/>
      </w:pPr>
      <w:r>
        <w:t>Hình 4: Sơ đồ ERD Hệ thống The Stationery Muse</w:t>
      </w:r>
    </w:p>
    <w:p>
      <w:pPr>
        <w:pStyle w:val="Heading2"/>
      </w:pPr>
      <w:r>
        <w:t>4.2 Các Bảng Database (Migrations)</w:t>
      </w:r>
    </w:p>
    <w:p>
      <w:r>
        <w:t>Bảng 1: Bảng products (Sản phẩm văn phòng phẩm)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Tên trường</w:t>
            </w:r>
          </w:p>
        </w:tc>
        <w:tc>
          <w:tcPr>
            <w:tcW w:type="dxa" w:w="2880"/>
          </w:tcPr>
          <w:p>
            <w:r>
              <w:rPr>
                <w:b/>
              </w:rPr>
              <w:t>Kiểu dữ liệu</w:t>
            </w:r>
          </w:p>
        </w:tc>
        <w:tc>
          <w:tcPr>
            <w:tcW w:type="dxa" w:w="2880"/>
          </w:tcPr>
          <w:p>
            <w:r>
              <w:rPr>
                <w:b/>
              </w:rPr>
              <w:t>Ý nghĩa</w:t>
            </w:r>
          </w:p>
        </w:tc>
      </w:tr>
      <w:tr>
        <w:tc>
          <w:tcPr>
            <w:tcW w:type="dxa" w:w="2880"/>
          </w:tcPr>
          <w:p>
            <w:r>
              <w:t>id</w:t>
            </w:r>
          </w:p>
        </w:tc>
        <w:tc>
          <w:tcPr>
            <w:tcW w:type="dxa" w:w="2880"/>
          </w:tcPr>
          <w:p>
            <w:r>
              <w:t>BigInt (PK)</w:t>
            </w:r>
          </w:p>
        </w:tc>
        <w:tc>
          <w:tcPr>
            <w:tcW w:type="dxa" w:w="2880"/>
          </w:tcPr>
          <w:p>
            <w:r>
              <w:t>Mã sản phẩm</w:t>
            </w:r>
          </w:p>
        </w:tc>
      </w:tr>
      <w:tr>
        <w:tc>
          <w:tcPr>
            <w:tcW w:type="dxa" w:w="2880"/>
          </w:tcPr>
          <w:p>
            <w:r>
              <w:t>category_id</w:t>
            </w:r>
          </w:p>
        </w:tc>
        <w:tc>
          <w:tcPr>
            <w:tcW w:type="dxa" w:w="2880"/>
          </w:tcPr>
          <w:p>
            <w:r>
              <w:t>BigInt (FK)</w:t>
            </w:r>
          </w:p>
        </w:tc>
        <w:tc>
          <w:tcPr>
            <w:tcW w:type="dxa" w:w="2880"/>
          </w:tcPr>
          <w:p>
            <w:r>
              <w:t>Liên kết bảng Categories</w:t>
            </w:r>
          </w:p>
        </w:tc>
      </w:tr>
      <w:tr>
        <w:tc>
          <w:tcPr>
            <w:tcW w:type="dxa" w:w="2880"/>
          </w:tcPr>
          <w:p>
            <w:r>
              <w:t>name</w:t>
            </w:r>
          </w:p>
        </w:tc>
        <w:tc>
          <w:tcPr>
            <w:tcW w:type="dxa" w:w="2880"/>
          </w:tcPr>
          <w:p>
            <w:r>
              <w:t>Varchar</w:t>
            </w:r>
          </w:p>
        </w:tc>
        <w:tc>
          <w:tcPr>
            <w:tcW w:type="dxa" w:w="2880"/>
          </w:tcPr>
          <w:p>
            <w:r>
              <w:t>Tên sản phẩm</w:t>
            </w:r>
          </w:p>
        </w:tc>
      </w:tr>
      <w:tr>
        <w:tc>
          <w:tcPr>
            <w:tcW w:type="dxa" w:w="2880"/>
          </w:tcPr>
          <w:p>
            <w:r>
              <w:t>sale_price</w:t>
            </w:r>
          </w:p>
        </w:tc>
        <w:tc>
          <w:tcPr>
            <w:tcW w:type="dxa" w:w="2880"/>
          </w:tcPr>
          <w:p>
            <w:r>
              <w:t>Decimal(10,2)</w:t>
            </w:r>
          </w:p>
        </w:tc>
        <w:tc>
          <w:tcPr>
            <w:tcW w:type="dxa" w:w="2880"/>
          </w:tcPr>
          <w:p>
            <w:r>
              <w:t>Giá khuyến mãi</w:t>
            </w:r>
          </w:p>
        </w:tc>
      </w:tr>
      <w:tr>
        <w:tc>
          <w:tcPr>
            <w:tcW w:type="dxa" w:w="2880"/>
          </w:tcPr>
          <w:p>
            <w:r>
              <w:t>stock</w:t>
            </w:r>
          </w:p>
        </w:tc>
        <w:tc>
          <w:tcPr>
            <w:tcW w:type="dxa" w:w="2880"/>
          </w:tcPr>
          <w:p>
            <w:r>
              <w:t>Int</w:t>
            </w:r>
          </w:p>
        </w:tc>
        <w:tc>
          <w:tcPr>
            <w:tcW w:type="dxa" w:w="2880"/>
          </w:tcPr>
          <w:p>
            <w:r>
              <w:t>Số lượng sản phẩm còn trong kho</w:t>
            </w:r>
          </w:p>
        </w:tc>
      </w:tr>
    </w:tbl>
    <w:p>
      <w:r>
        <w:br/>
        <w:t>Bảng 2: Bảng vouchers (Khuyến mãi)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Tên trường</w:t>
            </w:r>
          </w:p>
        </w:tc>
        <w:tc>
          <w:tcPr>
            <w:tcW w:type="dxa" w:w="2880"/>
          </w:tcPr>
          <w:p>
            <w:r>
              <w:rPr>
                <w:b/>
              </w:rPr>
              <w:t>Kiểu dữ liệu</w:t>
            </w:r>
          </w:p>
        </w:tc>
        <w:tc>
          <w:tcPr>
            <w:tcW w:type="dxa" w:w="2880"/>
          </w:tcPr>
          <w:p>
            <w:r>
              <w:rPr>
                <w:b/>
              </w:rPr>
              <w:t>Ý nghĩa</w:t>
            </w:r>
          </w:p>
        </w:tc>
      </w:tr>
      <w:tr>
        <w:tc>
          <w:tcPr>
            <w:tcW w:type="dxa" w:w="2880"/>
          </w:tcPr>
          <w:p>
            <w:r>
              <w:t>id</w:t>
            </w:r>
          </w:p>
        </w:tc>
        <w:tc>
          <w:tcPr>
            <w:tcW w:type="dxa" w:w="2880"/>
          </w:tcPr>
          <w:p>
            <w:r>
              <w:t>BigInt (PK)</w:t>
            </w:r>
          </w:p>
        </w:tc>
        <w:tc>
          <w:tcPr>
            <w:tcW w:type="dxa" w:w="2880"/>
          </w:tcPr>
          <w:p>
            <w:r>
              <w:t>Mã chứng từ</w:t>
            </w:r>
          </w:p>
        </w:tc>
      </w:tr>
      <w:tr>
        <w:tc>
          <w:tcPr>
            <w:tcW w:type="dxa" w:w="2880"/>
          </w:tcPr>
          <w:p>
            <w:r>
              <w:t>code</w:t>
            </w:r>
          </w:p>
        </w:tc>
        <w:tc>
          <w:tcPr>
            <w:tcW w:type="dxa" w:w="2880"/>
          </w:tcPr>
          <w:p>
            <w:r>
              <w:t>Varchar</w:t>
            </w:r>
          </w:p>
        </w:tc>
        <w:tc>
          <w:tcPr>
            <w:tcW w:type="dxa" w:w="2880"/>
          </w:tcPr>
          <w:p>
            <w:r>
              <w:t>Mã voucher (VD: SALE50)</w:t>
            </w:r>
          </w:p>
        </w:tc>
      </w:tr>
      <w:tr>
        <w:tc>
          <w:tcPr>
            <w:tcW w:type="dxa" w:w="2880"/>
          </w:tcPr>
          <w:p>
            <w:r>
              <w:t>discount_amount</w:t>
            </w:r>
          </w:p>
        </w:tc>
        <w:tc>
          <w:tcPr>
            <w:tcW w:type="dxa" w:w="2880"/>
          </w:tcPr>
          <w:p>
            <w:r>
              <w:t>Decimal</w:t>
            </w:r>
          </w:p>
        </w:tc>
        <w:tc>
          <w:tcPr>
            <w:tcW w:type="dxa" w:w="2880"/>
          </w:tcPr>
          <w:p>
            <w:r>
              <w:t>Mức giảm giá</w:t>
            </w:r>
          </w:p>
        </w:tc>
      </w:tr>
      <w:tr>
        <w:tc>
          <w:tcPr>
            <w:tcW w:type="dxa" w:w="2880"/>
          </w:tcPr>
          <w:p>
            <w:r>
              <w:t>usage_limit</w:t>
            </w:r>
          </w:p>
        </w:tc>
        <w:tc>
          <w:tcPr>
            <w:tcW w:type="dxa" w:w="2880"/>
          </w:tcPr>
          <w:p>
            <w:r>
              <w:t>Int</w:t>
            </w:r>
          </w:p>
        </w:tc>
        <w:tc>
          <w:tcPr>
            <w:tcW w:type="dxa" w:w="2880"/>
          </w:tcPr>
          <w:p>
            <w:r>
              <w:t>Giới hạn số lần phát hành</w:t>
            </w:r>
          </w:p>
        </w:tc>
      </w:tr>
    </w:tbl>
    <w:p>
      <w:r>
        <w:br/>
        <w:t>Bảng 3: Bảng orders &amp; order_items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Tên trường</w:t>
            </w:r>
          </w:p>
        </w:tc>
        <w:tc>
          <w:tcPr>
            <w:tcW w:type="dxa" w:w="2880"/>
          </w:tcPr>
          <w:p>
            <w:r>
              <w:rPr>
                <w:b/>
              </w:rPr>
              <w:t>Kiểu dữ liệu</w:t>
            </w:r>
          </w:p>
        </w:tc>
        <w:tc>
          <w:tcPr>
            <w:tcW w:type="dxa" w:w="2880"/>
          </w:tcPr>
          <w:p>
            <w:r>
              <w:rPr>
                <w:b/>
              </w:rPr>
              <w:t>Ý nghĩa</w:t>
            </w:r>
          </w:p>
        </w:tc>
      </w:tr>
      <w:tr>
        <w:tc>
          <w:tcPr>
            <w:tcW w:type="dxa" w:w="2880"/>
          </w:tcPr>
          <w:p>
            <w:r>
              <w:t>order.id</w:t>
            </w:r>
          </w:p>
        </w:tc>
        <w:tc>
          <w:tcPr>
            <w:tcW w:type="dxa" w:w="2880"/>
          </w:tcPr>
          <w:p>
            <w:r>
              <w:t>BigInt (PK)</w:t>
            </w:r>
          </w:p>
        </w:tc>
        <w:tc>
          <w:tcPr>
            <w:tcW w:type="dxa" w:w="2880"/>
          </w:tcPr>
          <w:p>
            <w:r>
              <w:t>Mã đơn hàng</w:t>
            </w:r>
          </w:p>
        </w:tc>
      </w:tr>
      <w:tr>
        <w:tc>
          <w:tcPr>
            <w:tcW w:type="dxa" w:w="2880"/>
          </w:tcPr>
          <w:p>
            <w:r>
              <w:t>order.total_amount</w:t>
            </w:r>
          </w:p>
        </w:tc>
        <w:tc>
          <w:tcPr>
            <w:tcW w:type="dxa" w:w="2880"/>
          </w:tcPr>
          <w:p>
            <w:r>
              <w:t>Decimal</w:t>
            </w:r>
          </w:p>
        </w:tc>
        <w:tc>
          <w:tcPr>
            <w:tcW w:type="dxa" w:w="2880"/>
          </w:tcPr>
          <w:p>
            <w:r>
              <w:t>Tổng thanh toán</w:t>
            </w:r>
          </w:p>
        </w:tc>
      </w:tr>
      <w:tr>
        <w:tc>
          <w:tcPr>
            <w:tcW w:type="dxa" w:w="2880"/>
          </w:tcPr>
          <w:p>
            <w:r>
              <w:t>order.voucher_id</w:t>
            </w:r>
          </w:p>
        </w:tc>
        <w:tc>
          <w:tcPr>
            <w:tcW w:type="dxa" w:w="2880"/>
          </w:tcPr>
          <w:p>
            <w:r>
              <w:t>BigInt</w:t>
            </w:r>
          </w:p>
        </w:tc>
        <w:tc>
          <w:tcPr>
            <w:tcW w:type="dxa" w:w="2880"/>
          </w:tcPr>
          <w:p>
            <w:r>
              <w:t>Voucher đã dùng</w:t>
            </w:r>
          </w:p>
        </w:tc>
      </w:tr>
      <w:tr>
        <w:tc>
          <w:tcPr>
            <w:tcW w:type="dxa" w:w="2880"/>
          </w:tcPr>
          <w:p>
            <w:r>
              <w:t>order_item.quantity</w:t>
            </w:r>
          </w:p>
        </w:tc>
        <w:tc>
          <w:tcPr>
            <w:tcW w:type="dxa" w:w="2880"/>
          </w:tcPr>
          <w:p>
            <w:r>
              <w:t>Int</w:t>
            </w:r>
          </w:p>
        </w:tc>
        <w:tc>
          <w:tcPr>
            <w:tcW w:type="dxa" w:w="2880"/>
          </w:tcPr>
          <w:p>
            <w:r>
              <w:t>Số lượng đã mua bảo lưu trong CSDL</w:t>
            </w:r>
          </w:p>
        </w:tc>
      </w:tr>
    </w:tbl>
    <w:p>
      <w:pPr>
        <w:pStyle w:val="Heading1"/>
      </w:pPr>
      <w:r>
        <w:t>CHƯƠNG V: KẾT LUẬN</w:t>
      </w:r>
    </w:p>
    <w:p>
      <w:r>
        <w:t>Dự án The Stationery Muse đã vượt qua được các yêu cầu kỹ thuật của một hệ thống thương mại điện tử cấp độ phức tạp bằng nền tảng Laravel mạnh mẽ. Điểm đột phá của dự án là thiết kế quy trình thanh toán chính xác, hệ thống giảm giá Voucher và khả năng trừ sản phẩm trực tiếp khi khách thanh toán để loại bỏ lỗi thất thoát Overselling.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