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r>
    </w:p>
    <w:p>
      <w:pPr>
        <w:jc w:val="center"/>
      </w:pPr>
      <w:r>
        <w:t>TRƯỜNG ĐẠI HỌC CÔNG NGHỆ</w:t>
        <w:br/>
        <w:t>KHOA CÔNG NGHỆ THÔNG TIN</w:t>
      </w:r>
    </w:p>
    <w:p>
      <w:r>
        <w:br/>
        <w:br/>
      </w:r>
    </w:p>
    <w:p>
      <w:pPr>
        <w:jc w:val="center"/>
      </w:pPr>
      <w:r>
        <w:t>BÀI TẬP LỚN</w:t>
        <w:br/>
        <w:t>HỌC PHẦN: ĐỒ ÁN CHUYÊN NGÀNH CÔNG NGHỆ PHẦN MỀM</w:t>
      </w:r>
    </w:p>
    <w:p>
      <w:r>
        <w:br/>
      </w:r>
    </w:p>
    <w:p>
      <w:pPr>
        <w:jc w:val="center"/>
      </w:pPr>
      <w:r>
        <w:rPr>
          <w:b/>
          <w:sz w:val="32"/>
        </w:rPr>
        <w:t>TÊN ĐỀ TÀI: XÂY DỰNG WEBSITE QUẢN LÝ BÁN VĂN PHÒNG PHẨM "THE STATIONERY MUSE"</w:t>
      </w:r>
    </w:p>
    <w:p>
      <w:r>
        <w:br/>
        <w:br/>
        <w:br/>
        <w:br/>
        <w:br/>
        <w:br/>
        <w:br/>
        <w:br/>
        <w:br/>
      </w:r>
    </w:p>
    <w:p>
      <w:pPr>
        <w:jc w:val="center"/>
      </w:pPr>
      <w:r>
        <w:t>Sinh viên thực hiện: Phạm Đức Quyền</w:t>
        <w:br/>
        <w:t>Giảng viên hướng dẫn: Mai Văn Linh</w:t>
      </w:r>
    </w:p>
    <w:p>
      <w:r>
        <w:br w:type="page"/>
      </w:r>
    </w:p>
    <w:p>
      <w:pPr>
        <w:pStyle w:val="Heading1"/>
      </w:pPr>
      <w:r>
        <w:t>MỤC LỤC</w:t>
      </w:r>
    </w:p>
    <w:p>
      <w:r>
        <w:t>CHƯƠNG I: TỔNG QUAN VỀ ĐỀ TÀI</w:t>
      </w:r>
    </w:p>
    <w:p>
      <w:r>
        <w:t>CHƯƠNG II: CÔNG NGHỆ VÀ NGÔN NGỮ SỬ DỤNG (LARAVEL)</w:t>
      </w:r>
    </w:p>
    <w:p>
      <w:r>
        <w:t>CHƯƠNG III: YÊU CẦU HỆ THỐNG VÀ THIẾT KẾ</w:t>
      </w:r>
    </w:p>
    <w:p>
      <w:r>
        <w:t>CHƯƠNG IV: CẤU TRÚC CƠ SỞ DỮ LIỆU &amp; ERD</w:t>
      </w:r>
    </w:p>
    <w:p>
      <w:r>
        <w:t>CHƯƠNG V: KẾT LUẬN</w:t>
      </w:r>
    </w:p>
    <w:p>
      <w:r>
        <w:br w:type="page"/>
      </w:r>
    </w:p>
    <w:p>
      <w:pPr>
        <w:pStyle w:val="Heading1"/>
      </w:pPr>
      <w:r>
        <w:t>CHƯƠNG I: TỔNG QUAN VỀ ĐỀ TÀI</w:t>
      </w:r>
    </w:p>
    <w:p>
      <w:pPr>
        <w:pStyle w:val="Heading2"/>
      </w:pPr>
      <w:r>
        <w:t>1.1. Lý do chọn đề tài</w:t>
      </w:r>
    </w:p>
    <w:p>
      <w:r>
        <w:t>Trong thời đại số hóa, thương mại điện tử giúp doanh nghiệp kinh doanh văn phòng phẩm quản lý tồn kho (Stock), đơn hàng, và khuyến mãi hiệu quả hơn so với truyền thống. "The Stationery Muse" được xây dựng để cung cấp công cụ tự động hóa toàn diện từ mua sắm online đến các chương trình chiết khấu ưu đãi khách hàng.</w:t>
      </w:r>
    </w:p>
    <w:p>
      <w:pPr>
        <w:pStyle w:val="Heading2"/>
      </w:pPr>
      <w:r>
        <w:t>1.2. Mục tiêu</w:t>
      </w:r>
    </w:p>
    <w:p>
      <w:r>
        <w:t>Xây dựng hệ thống bằng Laravel MVC tinh gọn, kết hợp giao diện với Tailwind CSS, tích hợp thanh toán (VNPAY), kiểm soát chính xác cơ chế áp dụng Mã giảm giá (Vouchers).</w:t>
      </w:r>
    </w:p>
    <w:p>
      <w:pPr>
        <w:pStyle w:val="Heading1"/>
      </w:pPr>
      <w:r>
        <w:t>CHƯƠNG II: CÔNG NGHỆ VÀ NGÔN NGỮ SỬ DỤNG</w:t>
      </w:r>
    </w:p>
    <w:p>
      <w:r>
        <w:t>Dự án dựa trên Framework Laravel 10 (được viết bằng PHP). Khung kiến trúc MVC đảm bảo duy trì logic phần mềm (Controllers) và các mô hình CSDL MySQL rõ ràng. Giao diện tùy ưu nhanh chóng chuyên nghiệp thông qua Tailwind CSS.</w:t>
      </w:r>
    </w:p>
    <w:p>
      <w:r>
        <w:br w:type="page"/>
      </w:r>
    </w:p>
    <w:p>
      <w:pPr>
        <w:pStyle w:val="Heading1"/>
      </w:pPr>
      <w:r>
        <w:t>CHƯƠNG III: YÊU CẦU HỆ THỐNG VÀ THIẾT KẾ</w:t>
      </w:r>
    </w:p>
    <w:p>
      <w:pPr>
        <w:pStyle w:val="Heading2"/>
      </w:pPr>
      <w:r>
        <w:t>3.1 Sơ đồ Usecase Tổng quát</w:t>
      </w:r>
    </w:p>
    <w:p>
      <w:r>
        <w:drawing>
          <wp:inline xmlns:a="http://schemas.openxmlformats.org/drawingml/2006/main" xmlns:pic="http://schemas.openxmlformats.org/drawingml/2006/picture">
            <wp:extent cx="5486400" cy="8082781"/>
            <wp:docPr id="1" name="Picture 1"/>
            <wp:cNvGraphicFramePr>
              <a:graphicFrameLocks noChangeAspect="1"/>
            </wp:cNvGraphicFramePr>
            <a:graphic>
              <a:graphicData uri="http://schemas.openxmlformats.org/drawingml/2006/picture">
                <pic:pic>
                  <pic:nvPicPr>
                    <pic:cNvPr id="0" name="uc_diag.png"/>
                    <pic:cNvPicPr/>
                  </pic:nvPicPr>
                  <pic:blipFill>
                    <a:blip r:embed="rId9"/>
                    <a:stretch>
                      <a:fillRect/>
                    </a:stretch>
                  </pic:blipFill>
                  <pic:spPr>
                    <a:xfrm>
                      <a:off x="0" y="0"/>
                      <a:ext cx="5486400" cy="8082781"/>
                    </a:xfrm>
                    <a:prstGeom prst="rect"/>
                  </pic:spPr>
                </pic:pic>
              </a:graphicData>
            </a:graphic>
          </wp:inline>
        </w:drawing>
      </w:r>
    </w:p>
    <w:p>
      <w:pPr>
        <w:jc w:val="center"/>
      </w:pPr>
      <w:r>
        <w:t>Hình 1: Biểu đồ Usecase hệ thống bán văn phòng phẩm</w:t>
      </w:r>
    </w:p>
    <w:p>
      <w:pPr>
        <w:pStyle w:val="Heading2"/>
      </w:pPr>
      <w:r>
        <w:t>3.2 Sơ đồ Hoạt động (Quy trình Checkout &amp; VNPAY)</w:t>
      </w:r>
    </w:p>
    <w:p>
      <w:r>
        <w:drawing>
          <wp:inline xmlns:a="http://schemas.openxmlformats.org/drawingml/2006/main" xmlns:pic="http://schemas.openxmlformats.org/drawingml/2006/picture">
            <wp:extent cx="4114800" cy="5376075"/>
            <wp:docPr id="2" name="Picture 2"/>
            <wp:cNvGraphicFramePr>
              <a:graphicFrameLocks noChangeAspect="1"/>
            </wp:cNvGraphicFramePr>
            <a:graphic>
              <a:graphicData uri="http://schemas.openxmlformats.org/drawingml/2006/picture">
                <pic:pic>
                  <pic:nvPicPr>
                    <pic:cNvPr id="0" name="act_diag.png"/>
                    <pic:cNvPicPr/>
                  </pic:nvPicPr>
                  <pic:blipFill>
                    <a:blip r:embed="rId10"/>
                    <a:stretch>
                      <a:fillRect/>
                    </a:stretch>
                  </pic:blipFill>
                  <pic:spPr>
                    <a:xfrm>
                      <a:off x="0" y="0"/>
                      <a:ext cx="4114800" cy="5376075"/>
                    </a:xfrm>
                    <a:prstGeom prst="rect"/>
                  </pic:spPr>
                </pic:pic>
              </a:graphicData>
            </a:graphic>
          </wp:inline>
        </w:drawing>
      </w:r>
    </w:p>
    <w:p>
      <w:pPr>
        <w:jc w:val="center"/>
      </w:pPr>
      <w:r>
        <w:t>Hình 2: Sơ đồ hoạt động xử lý vòng lặp đơn hàng</w:t>
      </w:r>
    </w:p>
    <w:p>
      <w:pPr>
        <w:pStyle w:val="Heading2"/>
      </w:pPr>
      <w:r>
        <w:t>3.3 Sơ đồ Tuần tự (Xác thực Voucher)</w:t>
      </w:r>
    </w:p>
    <w:p>
      <w:r>
        <w:drawing>
          <wp:inline xmlns:a="http://schemas.openxmlformats.org/drawingml/2006/main" xmlns:pic="http://schemas.openxmlformats.org/drawingml/2006/picture">
            <wp:extent cx="5486400" cy="3381555"/>
            <wp:docPr id="3" name="Picture 3"/>
            <wp:cNvGraphicFramePr>
              <a:graphicFrameLocks noChangeAspect="1"/>
            </wp:cNvGraphicFramePr>
            <a:graphic>
              <a:graphicData uri="http://schemas.openxmlformats.org/drawingml/2006/picture">
                <pic:pic>
                  <pic:nvPicPr>
                    <pic:cNvPr id="0" name="seq_diag.png"/>
                    <pic:cNvPicPr/>
                  </pic:nvPicPr>
                  <pic:blipFill>
                    <a:blip r:embed="rId11"/>
                    <a:stretch>
                      <a:fillRect/>
                    </a:stretch>
                  </pic:blipFill>
                  <pic:spPr>
                    <a:xfrm>
                      <a:off x="0" y="0"/>
                      <a:ext cx="5486400" cy="3381555"/>
                    </a:xfrm>
                    <a:prstGeom prst="rect"/>
                  </pic:spPr>
                </pic:pic>
              </a:graphicData>
            </a:graphic>
          </wp:inline>
        </w:drawing>
      </w:r>
    </w:p>
    <w:p>
      <w:pPr>
        <w:jc w:val="center"/>
      </w:pPr>
      <w:r>
        <w:t>Hình 3: Sơ đồ tuần tự tương tác Khách hàng với Voucher</w:t>
      </w:r>
    </w:p>
    <w:p>
      <w:r>
        <w:br w:type="page"/>
      </w:r>
    </w:p>
    <w:p>
      <w:pPr>
        <w:pStyle w:val="Heading1"/>
      </w:pPr>
      <w:r>
        <w:t>CHƯƠNG IV: CẤU TRÚC CƠ SỞ DỮ LIỆU &amp; ERD</w:t>
      </w:r>
    </w:p>
    <w:p>
      <w:pPr>
        <w:pStyle w:val="Heading2"/>
      </w:pPr>
      <w:r>
        <w:t>4.1 Sơ đồ Thực thể Liên kết (ERD)</w:t>
      </w:r>
    </w:p>
    <w:p>
      <w:r>
        <w:drawing>
          <wp:inline xmlns:a="http://schemas.openxmlformats.org/drawingml/2006/main" xmlns:pic="http://schemas.openxmlformats.org/drawingml/2006/picture">
            <wp:extent cx="4572000" cy="4971936"/>
            <wp:docPr id="4" name="Picture 4"/>
            <wp:cNvGraphicFramePr>
              <a:graphicFrameLocks noChangeAspect="1"/>
            </wp:cNvGraphicFramePr>
            <a:graphic>
              <a:graphicData uri="http://schemas.openxmlformats.org/drawingml/2006/picture">
                <pic:pic>
                  <pic:nvPicPr>
                    <pic:cNvPr id="0" name="erd_diag.png"/>
                    <pic:cNvPicPr/>
                  </pic:nvPicPr>
                  <pic:blipFill>
                    <a:blip r:embed="rId12"/>
                    <a:stretch>
                      <a:fillRect/>
                    </a:stretch>
                  </pic:blipFill>
                  <pic:spPr>
                    <a:xfrm>
                      <a:off x="0" y="0"/>
                      <a:ext cx="4572000" cy="4971936"/>
                    </a:xfrm>
                    <a:prstGeom prst="rect"/>
                  </pic:spPr>
                </pic:pic>
              </a:graphicData>
            </a:graphic>
          </wp:inline>
        </w:drawing>
      </w:r>
    </w:p>
    <w:p>
      <w:pPr>
        <w:jc w:val="center"/>
      </w:pPr>
      <w:r>
        <w:t>Hình 4: Sơ đồ ERD Hệ thống The Stationery Muse</w:t>
      </w:r>
    </w:p>
    <w:p>
      <w:pPr>
        <w:pStyle w:val="Heading2"/>
      </w:pPr>
      <w:r>
        <w:t>4.2 Thiết kế Migrations Bảng biểu</w:t>
      </w:r>
    </w:p>
    <w:p>
      <w:r>
        <w:t>Bảng 1: Bảng products (Sản phẩm)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Trường</w:t>
            </w:r>
          </w:p>
        </w:tc>
        <w:tc>
          <w:tcPr>
            <w:tcW w:type="dxa" w:w="2880"/>
          </w:tcPr>
          <w:p>
            <w:r>
              <w:rPr>
                <w:b/>
              </w:rPr>
              <w:t>Kiểu dữ liệu</w:t>
            </w:r>
          </w:p>
        </w:tc>
        <w:tc>
          <w:tcPr>
            <w:tcW w:type="dxa" w:w="2880"/>
          </w:tcPr>
          <w:p>
            <w:r>
              <w:rPr>
                <w:b/>
              </w:rPr>
              <w:t>Ý nghĩa</w:t>
            </w:r>
          </w:p>
        </w:tc>
      </w:tr>
      <w:tr>
        <w:tc>
          <w:tcPr>
            <w:tcW w:type="dxa" w:w="2880"/>
          </w:tcPr>
          <w:p>
            <w:r>
              <w:t>id</w:t>
            </w:r>
          </w:p>
        </w:tc>
        <w:tc>
          <w:tcPr>
            <w:tcW w:type="dxa" w:w="2880"/>
          </w:tcPr>
          <w:p>
            <w:r>
              <w:t>BigInt</w:t>
            </w:r>
          </w:p>
        </w:tc>
        <w:tc>
          <w:tcPr>
            <w:tcW w:type="dxa" w:w="2880"/>
          </w:tcPr>
          <w:p>
            <w:r>
              <w:t>Khóa chính</w:t>
            </w:r>
          </w:p>
        </w:tc>
      </w:tr>
      <w:tr>
        <w:tc>
          <w:tcPr>
            <w:tcW w:type="dxa" w:w="2880"/>
          </w:tcPr>
          <w:p>
            <w:r>
              <w:t>name</w:t>
            </w:r>
          </w:p>
        </w:tc>
        <w:tc>
          <w:tcPr>
            <w:tcW w:type="dxa" w:w="2880"/>
          </w:tcPr>
          <w:p>
            <w:r>
              <w:t>Varchar</w:t>
            </w:r>
          </w:p>
        </w:tc>
        <w:tc>
          <w:tcPr>
            <w:tcW w:type="dxa" w:w="2880"/>
          </w:tcPr>
          <w:p>
            <w:r>
              <w:t>Tên sản phẩm</w:t>
            </w:r>
          </w:p>
        </w:tc>
      </w:tr>
      <w:tr>
        <w:tc>
          <w:tcPr>
            <w:tcW w:type="dxa" w:w="2880"/>
          </w:tcPr>
          <w:p>
            <w:r>
              <w:t>sale_price</w:t>
            </w:r>
          </w:p>
        </w:tc>
        <w:tc>
          <w:tcPr>
            <w:tcW w:type="dxa" w:w="2880"/>
          </w:tcPr>
          <w:p>
            <w:r>
              <w:t>Decimal</w:t>
            </w:r>
          </w:p>
        </w:tc>
        <w:tc>
          <w:tcPr>
            <w:tcW w:type="dxa" w:w="2880"/>
          </w:tcPr>
          <w:p>
            <w:r>
              <w:t>Khuyến mãi</w:t>
            </w:r>
          </w:p>
        </w:tc>
      </w:tr>
      <w:tr>
        <w:tc>
          <w:tcPr>
            <w:tcW w:type="dxa" w:w="2880"/>
          </w:tcPr>
          <w:p>
            <w:r>
              <w:t>stock</w:t>
            </w:r>
          </w:p>
        </w:tc>
        <w:tc>
          <w:tcPr>
            <w:tcW w:type="dxa" w:w="2880"/>
          </w:tcPr>
          <w:p>
            <w:r>
              <w:t>Int</w:t>
            </w:r>
          </w:p>
        </w:tc>
        <w:tc>
          <w:tcPr>
            <w:tcW w:type="dxa" w:w="2880"/>
          </w:tcPr>
          <w:p>
            <w:r>
              <w:t>Lượng tồn kho thực tế</w:t>
            </w:r>
          </w:p>
        </w:tc>
      </w:tr>
    </w:tbl>
    <w:p>
      <w:r>
        <w:br/>
        <w:t>Bảng 2: Bảng vouchers (Mã giảm giá)</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Trường</w:t>
            </w:r>
          </w:p>
        </w:tc>
        <w:tc>
          <w:tcPr>
            <w:tcW w:type="dxa" w:w="2880"/>
          </w:tcPr>
          <w:p>
            <w:r>
              <w:rPr>
                <w:b/>
              </w:rPr>
              <w:t>Kiểu</w:t>
            </w:r>
          </w:p>
        </w:tc>
        <w:tc>
          <w:tcPr>
            <w:tcW w:type="dxa" w:w="2880"/>
          </w:tcPr>
          <w:p>
            <w:r>
              <w:rPr>
                <w:b/>
              </w:rPr>
              <w:t>Ý nghĩa</w:t>
            </w:r>
          </w:p>
        </w:tc>
      </w:tr>
      <w:tr>
        <w:tc>
          <w:tcPr>
            <w:tcW w:type="dxa" w:w="2880"/>
          </w:tcPr>
          <w:p>
            <w:r>
              <w:t>code</w:t>
            </w:r>
          </w:p>
        </w:tc>
        <w:tc>
          <w:tcPr>
            <w:tcW w:type="dxa" w:w="2880"/>
          </w:tcPr>
          <w:p>
            <w:r>
              <w:t>Varchar</w:t>
            </w:r>
          </w:p>
        </w:tc>
        <w:tc>
          <w:tcPr>
            <w:tcW w:type="dxa" w:w="2880"/>
          </w:tcPr>
          <w:p>
            <w:r>
              <w:t>Mã hiển thị (Ví dụ: SALE50)</w:t>
            </w:r>
          </w:p>
        </w:tc>
      </w:tr>
      <w:tr>
        <w:tc>
          <w:tcPr>
            <w:tcW w:type="dxa" w:w="2880"/>
          </w:tcPr>
          <w:p>
            <w:r>
              <w:t>discount_amount</w:t>
            </w:r>
          </w:p>
        </w:tc>
        <w:tc>
          <w:tcPr>
            <w:tcW w:type="dxa" w:w="2880"/>
          </w:tcPr>
          <w:p>
            <w:r>
              <w:t>Decimal</w:t>
            </w:r>
          </w:p>
        </w:tc>
        <w:tc>
          <w:tcPr>
            <w:tcW w:type="dxa" w:w="2880"/>
          </w:tcPr>
          <w:p>
            <w:r>
              <w:t>Mức giảm</w:t>
            </w:r>
          </w:p>
        </w:tc>
      </w:tr>
    </w:tbl>
    <w:p>
      <w:r>
        <w:br/>
        <w:t>Bảng 3: Bảng order_items (Chi tiết)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Trường</w:t>
            </w:r>
          </w:p>
        </w:tc>
        <w:tc>
          <w:tcPr>
            <w:tcW w:type="dxa" w:w="2880"/>
          </w:tcPr>
          <w:p>
            <w:r>
              <w:rPr>
                <w:b/>
              </w:rPr>
              <w:t>Kiểu</w:t>
            </w:r>
          </w:p>
        </w:tc>
        <w:tc>
          <w:tcPr>
            <w:tcW w:type="dxa" w:w="2880"/>
          </w:tcPr>
          <w:p>
            <w:r>
              <w:rPr>
                <w:b/>
              </w:rPr>
              <w:t>Ý nghĩa</w:t>
            </w:r>
          </w:p>
        </w:tc>
      </w:tr>
      <w:tr>
        <w:tc>
          <w:tcPr>
            <w:tcW w:type="dxa" w:w="2880"/>
          </w:tcPr>
          <w:p>
            <w:r>
              <w:t>order_id</w:t>
            </w:r>
          </w:p>
        </w:tc>
        <w:tc>
          <w:tcPr>
            <w:tcW w:type="dxa" w:w="2880"/>
          </w:tcPr>
          <w:p>
            <w:r>
              <w:t>BigInt</w:t>
            </w:r>
          </w:p>
        </w:tc>
        <w:tc>
          <w:tcPr>
            <w:tcW w:type="dxa" w:w="2880"/>
          </w:tcPr>
          <w:p>
            <w:r>
              <w:t>Liên kết hệ thống Đơn hàng</w:t>
            </w:r>
          </w:p>
        </w:tc>
      </w:tr>
      <w:tr>
        <w:tc>
          <w:tcPr>
            <w:tcW w:type="dxa" w:w="2880"/>
          </w:tcPr>
          <w:p>
            <w:r>
              <w:t>product_id</w:t>
            </w:r>
          </w:p>
        </w:tc>
        <w:tc>
          <w:tcPr>
            <w:tcW w:type="dxa" w:w="2880"/>
          </w:tcPr>
          <w:p>
            <w:r>
              <w:t>BigInt</w:t>
            </w:r>
          </w:p>
        </w:tc>
        <w:tc>
          <w:tcPr>
            <w:tcW w:type="dxa" w:w="2880"/>
          </w:tcPr>
          <w:p>
            <w:r>
              <w:t>Liên kết hệ thống Sản phẩm</w:t>
            </w:r>
          </w:p>
        </w:tc>
      </w:tr>
      <w:tr>
        <w:tc>
          <w:tcPr>
            <w:tcW w:type="dxa" w:w="2880"/>
          </w:tcPr>
          <w:p>
            <w:r>
              <w:t>quantity</w:t>
            </w:r>
          </w:p>
        </w:tc>
        <w:tc>
          <w:tcPr>
            <w:tcW w:type="dxa" w:w="2880"/>
          </w:tcPr>
          <w:p>
            <w:r>
              <w:t>Int</w:t>
            </w:r>
          </w:p>
        </w:tc>
        <w:tc>
          <w:tcPr>
            <w:tcW w:type="dxa" w:w="2880"/>
          </w:tcPr>
          <w:p>
            <w:r>
              <w:t>Số lượng xuất kho</w:t>
            </w:r>
          </w:p>
        </w:tc>
      </w:tr>
    </w:tbl>
    <w:p>
      <w:r>
        <w:br w:type="page"/>
      </w:r>
    </w:p>
    <w:p>
      <w:pPr>
        <w:pStyle w:val="Heading1"/>
      </w:pPr>
      <w:r>
        <w:t>CHƯƠNG V: KẾT LUẬN</w:t>
      </w:r>
    </w:p>
    <w:p>
      <w:r>
        <w:t>Hệ thống đạt mục tiêu thiết lập Website bán hàng The Stationery Muse dựa trên kỹ thuật lập trình MVC bằng Framework Laravel hiện đại. Hệ thống giải quyết tốt bài toán trừ kho sản phẩm và ứng dụng mã giảm giá (Vouchers) tự động.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