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TỜ TRÌNH THẨM ĐỊNH TÍN DỤNG NỘI BỘ</w:t>
      </w:r>
    </w:p>
    <w:p/>
    <w:p>
      <w:r>
        <w:t>Khách hàng: Công ty Cổ phần Đầu tư MST</w:t>
      </w:r>
    </w:p>
    <w:p>
      <w:r>
        <w:t>Ngày lập: 15/04/2026</w:t>
      </w:r>
    </w:p>
    <w:p>
      <w:r>
        <w:t>Phân loại: Nội bộ – Bảo mật</w:t>
      </w:r>
    </w:p>
    <w:p/>
    <w:p>
      <w:pPr>
        <w:pStyle w:val="Heading1"/>
      </w:pPr>
      <w:r>
        <w:t>Phụ lục A: Thông tin lĩnh vực kinh doanh</w:t>
      </w:r>
    </w:p>
    <w:p>
      <w:pPr>
        <w:pStyle w:val="Heading2"/>
      </w:pPr>
      <w:r>
        <w:t>2.1 Tổng quan ngành</w:t>
      </w:r>
    </w:p>
    <w:p>
      <w:r>
        <w:t>Ngành xây dựng và vật liệu xây dựng tại Việt Nam đang trải qua một giai đoạn phát triển mới. Với nhu cầu về nhà ở giá rẻ và cơ sở hạ tầng phi nhà ở tăng cao, ngành xây dựng công trình (Mã ngành VSIC 41) đang được thúc đẩy mạnh mẽ. Theo báo cáo của Hội Vật liệu xây dựng Việt Nam, từ đầu quý IV/2025 tới nay, các công trình và dự án trên toàn quốc đã tích cực đẩy nhanh tiến độ hoàn thành, giúp thị trường vật liệu xây dựng trở nên sôi động hơn. Ngành vật liệu xây dựng cũng đang đối mặt với thách thức từ sự gia tăng chi phí sản xuất, thị trường tiêu thụ trì trệ, và khó khăn tài chính.</w:t>
      </w:r>
    </w:p>
    <w:p>
      <w:r>
        <w:t>Quy mô thị trường xây dựng và vật liệu xây dựng tại Việt Nam đang tăng trưởng, với nhiều dự án lớn được triển khai trong năm 2026. Vị trí của ngành trong nền kinh tế Việt Nam là rất quan trọng, đóng góp vào sự phát triển của cơ sở hạ tầng và đáp ứng nhu cầu về nhà ở của người dân.</w:t>
      </w:r>
    </w:p>
    <w:p>
      <w:pPr>
        <w:pStyle w:val="Heading2"/>
      </w:pPr>
      <w:r>
        <w:t>2.2 Xu hướng phát triển</w:t>
      </w:r>
    </w:p>
    <w:p>
      <w:r>
        <w:t>Xu hướng phát triển của ngành xây dựng và vật liệu xây dựng tại Việt Nam là rất tích cực. Với sự phục hồi của thị trường bất động sản và nhu cầu về cơ sở hạ tầng tăng cao, ngành xây dựng công trình và vật liệu xây dựng đang bước vào chu kỳ tăng trưởng mới. Theo dự báo, năm 2026 sẽ là một năm tăng trưởng mạnh mẽ cho ngành xây dựng, với nhiều dự án lớn được triển khai và hoàn thành.</w:t>
      </w:r>
    </w:p>
    <w:p>
      <w:r>
        <w:t>Chính sách hỗ trợ của Nhà nước cũng đang tạo điều kiện thuận lợi cho sự phát triển của ngành. Các dự án đầu tư công về giao thông và hạ tầng kỹ thuật đang được đẩy nhanh tiến độ, tạo ra cơ hội cho các doanh nghiệp xây dựng và cung cấp vật liệu xây dựng.</w:t>
      </w:r>
    </w:p>
    <w:p>
      <w:pPr>
        <w:pStyle w:val="Heading2"/>
      </w:pPr>
      <w:r>
        <w:t>2.3 Các rủi ro chính</w:t>
      </w:r>
    </w:p>
    <w:p>
      <w:r>
        <w:t>Ngành xây dựng và vật liệu xây dựng tại Việt Nam cũng đang đối mặt với một số rủi ro chính. Rủi ro thị trường bao gồm sự biến động của giá nguyên liệu, sự thay đổi của nhu cầu thị trường và sự cạnh tranh gay gắt giữa các doanh nghiệp. Rủi ro cạnh tranh cũng là một thách thức lớn, với sự xuất hiện của nhiều doanh nghiệp mới và sự gia tăng của cạnh tranh về giá và chất lượng.</w:t>
      </w:r>
    </w:p>
    <w:p>
      <w:r>
        <w:t>Rủi ro quy định pháp lý cũng là một vấn đề quan trọng, với sự thay đổi của các quy định và chính sách về xây dựng và vật liệu xây dựng. Rủi ro vĩ mô bao gồm sự biến động của kinh tế vĩ mô, sự thay đổi của lãi suất và sự ảnh hưởng của các yếu tố kinh tế toàn cầu.</w:t>
      </w:r>
    </w:p>
    <w:p>
      <w:r>
        <w:t>Một số rủi ro khác bao gồm:</w:t>
      </w:r>
    </w:p>
    <w:p>
      <w:pPr>
        <w:pStyle w:val="ListParagraph"/>
      </w:pPr>
      <w:r>
        <w:t>• Rủi ro về thiếu hụt nguồn cung vật liệu xây dựng</w:t>
      </w:r>
    </w:p>
    <w:p>
      <w:pPr>
        <w:pStyle w:val="ListParagraph"/>
      </w:pPr>
      <w:r>
        <w:t>• Rủi ro về giá cả tăng cao</w:t>
      </w:r>
    </w:p>
    <w:p>
      <w:pPr>
        <w:pStyle w:val="ListParagraph"/>
      </w:pPr>
      <w:r>
        <w:t>• Rủi ro về sự chậm trễ trong việc hoàn thành dự án</w:t>
      </w:r>
    </w:p>
    <w:p>
      <w:pPr>
        <w:pStyle w:val="ListParagraph"/>
      </w:pPr>
      <w:r>
        <w:t>• Rủi ro về sự không đảm bảo chất lượng của vật liệu xây dựng</w:t>
      </w:r>
    </w:p>
    <w:p>
      <w:pPr>
        <w:pStyle w:val="Heading2"/>
      </w:pPr>
      <w:r>
        <w:t>2.4 Vị thế cạnh tranh</w:t>
      </w:r>
    </w:p>
    <w:p>
      <w:r>
        <w:t>Môi trường cạnh tranh trong ngành xây dựng và vật liệu xây dựng tại Việt Nam đang trở nên gay gắt hơn. Với sự xuất hiện của nhiều doanh nghiệp mới và sự gia tăng của cạnh tranh về giá và chất lượng, các doanh nghiệp cần phải có chiến lược cạnh tranh hiệu quả để duy trì vị thế của mình trên thị trường.</w:t>
      </w:r>
    </w:p>
    <w:p>
      <w:r>
        <w:t>Công ty cổ phần MST cần phải tập trung vào việc cải thiện chất lượng sản phẩm, giảm giá thành và tăng cường dịch vụ khách hàng để duy trì vị thế cạnh tranh của mình. Ngoài ra, công ty cũng cần phải theo dõi sát sao các xu hướng thị trường và sự thay đổi của quy định pháp lý để có thể thích nghi và phát triển trong môi trường cạnh tranh gay gắt.</w:t>
      </w:r>
    </w:p>
    <w:p>
      <w:r>
        <w:br w:type="page"/>
      </w:r>
    </w:p>
    <w:p>
      <w:pPr>
        <w:pStyle w:val="Heading1"/>
      </w:pPr>
      <w:r>
        <w:t>Phụ lục B: Phân tích tình hình tài chính</w:t>
      </w:r>
    </w:p>
    <w:p>
      <w:pPr>
        <w:pStyle w:val="Heading2"/>
      </w:pPr>
      <w:r>
        <w:t>3.1 Bảng cân đối kế toán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Chỉ tiêu</w:t>
            </w:r>
          </w:p>
        </w:tc>
        <w:tc>
          <w:tcPr>
            <w:tcW w:type="dxa" w:w="1440"/>
          </w:tcPr>
          <w:p>
            <w:r/>
            <w:r>
              <w:rPr>
                <w:b/>
              </w:rPr>
              <w:t>2022</w:t>
            </w:r>
          </w:p>
        </w:tc>
        <w:tc>
          <w:tcPr>
            <w:tcW w:type="dxa" w:w="1440"/>
          </w:tcPr>
          <w:p>
            <w:r/>
            <w:r>
              <w:rPr>
                <w:b/>
              </w:rPr>
              <w:t>2023</w:t>
            </w:r>
          </w:p>
        </w:tc>
        <w:tc>
          <w:tcPr>
            <w:tcW w:type="dxa" w:w="1440"/>
          </w:tcPr>
          <w:p>
            <w:r/>
            <w:r>
              <w:rPr>
                <w:b/>
              </w:rPr>
              <w:t>2024</w:t>
            </w:r>
          </w:p>
        </w:tc>
        <w:tc>
          <w:tcPr>
            <w:tcW w:type="dxa" w:w="1440"/>
          </w:tcPr>
          <w:p>
            <w:r/>
            <w:r>
              <w:rPr>
                <w:b/>
              </w:rPr>
              <w:t>23/22</w:t>
            </w:r>
          </w:p>
        </w:tc>
        <w:tc>
          <w:tcPr>
            <w:tcW w:type="dxa" w:w="1440"/>
          </w:tcPr>
          <w:p>
            <w:r/>
            <w:r>
              <w:rPr>
                <w:b/>
              </w:rPr>
              <w:t>24/23</w:t>
            </w:r>
          </w:p>
        </w:tc>
      </w:tr>
      <w:tr>
        <w:tc>
          <w:tcPr>
            <w:tcW w:type="dxa" w:w="1440"/>
          </w:tcPr>
          <w:p>
            <w:r/>
            <w:r>
              <w:t>Tổng tài sản</w:t>
            </w:r>
          </w:p>
        </w:tc>
        <w:tc>
          <w:tcPr>
            <w:tcW w:type="dxa" w:w="1440"/>
          </w:tcPr>
          <w:p>
            <w:r/>
            <w:r>
              <w:t>1.301.535</w:t>
            </w:r>
          </w:p>
        </w:tc>
        <w:tc>
          <w:tcPr>
            <w:tcW w:type="dxa" w:w="1440"/>
          </w:tcPr>
          <w:p>
            <w:r/>
            <w:r>
              <w:t>1.218.962</w:t>
            </w:r>
          </w:p>
        </w:tc>
        <w:tc>
          <w:tcPr>
            <w:tcW w:type="dxa" w:w="1440"/>
          </w:tcPr>
          <w:p>
            <w:r/>
            <w:r>
              <w:t>1.750.574</w:t>
            </w:r>
          </w:p>
        </w:tc>
        <w:tc>
          <w:tcPr>
            <w:tcW w:type="dxa" w:w="1440"/>
          </w:tcPr>
          <w:p>
            <w:r/>
            <w:r>
              <w:t>-6,3%</w:t>
            </w:r>
          </w:p>
        </w:tc>
        <w:tc>
          <w:tcPr>
            <w:tcW w:type="dxa" w:w="1440"/>
          </w:tcPr>
          <w:p>
            <w:r/>
            <w:r>
              <w:t>+43,6%</w:t>
            </w:r>
          </w:p>
        </w:tc>
      </w:tr>
      <w:tr>
        <w:tc>
          <w:tcPr>
            <w:tcW w:type="dxa" w:w="1440"/>
          </w:tcPr>
          <w:p>
            <w:r/>
            <w:r>
              <w:t>Tài sản ngắn hạn</w:t>
            </w:r>
          </w:p>
        </w:tc>
        <w:tc>
          <w:tcPr>
            <w:tcW w:type="dxa" w:w="1440"/>
          </w:tcPr>
          <w:p>
            <w:r/>
            <w:r>
              <w:t>291.161</w:t>
            </w:r>
          </w:p>
        </w:tc>
        <w:tc>
          <w:tcPr>
            <w:tcW w:type="dxa" w:w="1440"/>
          </w:tcPr>
          <w:p>
            <w:r/>
            <w:r>
              <w:t>203.327</w:t>
            </w:r>
          </w:p>
        </w:tc>
        <w:tc>
          <w:tcPr>
            <w:tcW w:type="dxa" w:w="1440"/>
          </w:tcPr>
          <w:p>
            <w:r/>
            <w:r>
              <w:t>894.334</w:t>
            </w:r>
          </w:p>
        </w:tc>
        <w:tc>
          <w:tcPr>
            <w:tcW w:type="dxa" w:w="1440"/>
          </w:tcPr>
          <w:p>
            <w:r/>
            <w:r>
              <w:t>-30,2%</w:t>
            </w:r>
          </w:p>
        </w:tc>
        <w:tc>
          <w:tcPr>
            <w:tcW w:type="dxa" w:w="1440"/>
          </w:tcPr>
          <w:p>
            <w:r/>
            <w:r>
              <w:t>+339,9%</w:t>
            </w:r>
          </w:p>
        </w:tc>
      </w:tr>
      <w:tr>
        <w:tc>
          <w:tcPr>
            <w:tcW w:type="dxa" w:w="1440"/>
          </w:tcPr>
          <w:p>
            <w:r/>
            <w:r>
              <w:t>Tài sản dài hạn</w:t>
            </w:r>
          </w:p>
        </w:tc>
        <w:tc>
          <w:tcPr>
            <w:tcW w:type="dxa" w:w="1440"/>
          </w:tcPr>
          <w:p>
            <w:r/>
            <w:r>
              <w:t>1.010.374</w:t>
            </w:r>
          </w:p>
        </w:tc>
        <w:tc>
          <w:tcPr>
            <w:tcW w:type="dxa" w:w="1440"/>
          </w:tcPr>
          <w:p>
            <w:r/>
            <w:r>
              <w:t>1.015.635</w:t>
            </w:r>
          </w:p>
        </w:tc>
        <w:tc>
          <w:tcPr>
            <w:tcW w:type="dxa" w:w="1440"/>
          </w:tcPr>
          <w:p>
            <w:r/>
            <w:r>
              <w:t>856.240</w:t>
            </w:r>
          </w:p>
        </w:tc>
        <w:tc>
          <w:tcPr>
            <w:tcW w:type="dxa" w:w="1440"/>
          </w:tcPr>
          <w:p>
            <w:r/>
            <w:r>
              <w:t>+0,5%</w:t>
            </w:r>
          </w:p>
        </w:tc>
        <w:tc>
          <w:tcPr>
            <w:tcW w:type="dxa" w:w="1440"/>
          </w:tcPr>
          <w:p>
            <w:r/>
            <w:r>
              <w:t>-15,7%</w:t>
            </w:r>
          </w:p>
        </w:tc>
      </w:tr>
      <w:tr>
        <w:tc>
          <w:tcPr>
            <w:tcW w:type="dxa" w:w="1440"/>
          </w:tcPr>
          <w:p>
            <w:r/>
            <w:r>
              <w:t>Tổng nợ</w:t>
            </w:r>
          </w:p>
        </w:tc>
        <w:tc>
          <w:tcPr>
            <w:tcW w:type="dxa" w:w="1440"/>
          </w:tcPr>
          <w:p>
            <w:r/>
            <w:r>
              <w:t>467.485</w:t>
            </w:r>
          </w:p>
        </w:tc>
        <w:tc>
          <w:tcPr>
            <w:tcW w:type="dxa" w:w="1440"/>
          </w:tcPr>
          <w:p>
            <w:r/>
            <w:r>
              <w:t>387.117</w:t>
            </w:r>
          </w:p>
        </w:tc>
        <w:tc>
          <w:tcPr>
            <w:tcW w:type="dxa" w:w="1440"/>
          </w:tcPr>
          <w:p>
            <w:r/>
            <w:r>
              <w:t>901.913</w:t>
            </w:r>
          </w:p>
        </w:tc>
        <w:tc>
          <w:tcPr>
            <w:tcW w:type="dxa" w:w="1440"/>
          </w:tcPr>
          <w:p>
            <w:r/>
            <w:r>
              <w:t>-17,2%</w:t>
            </w:r>
          </w:p>
        </w:tc>
        <w:tc>
          <w:tcPr>
            <w:tcW w:type="dxa" w:w="1440"/>
          </w:tcPr>
          <w:p>
            <w:r/>
            <w:r>
              <w:t>+133,0%</w:t>
            </w:r>
          </w:p>
        </w:tc>
      </w:tr>
      <w:tr>
        <w:tc>
          <w:tcPr>
            <w:tcW w:type="dxa" w:w="1440"/>
          </w:tcPr>
          <w:p>
            <w:r/>
            <w:r>
              <w:t>Nợ ngắn hạn</w:t>
            </w:r>
          </w:p>
        </w:tc>
        <w:tc>
          <w:tcPr>
            <w:tcW w:type="dxa" w:w="1440"/>
          </w:tcPr>
          <w:p>
            <w:r/>
            <w:r>
              <w:t>466.346</w:t>
            </w:r>
          </w:p>
        </w:tc>
        <w:tc>
          <w:tcPr>
            <w:tcW w:type="dxa" w:w="1440"/>
          </w:tcPr>
          <w:p>
            <w:r/>
            <w:r>
              <w:t>266.799</w:t>
            </w:r>
          </w:p>
        </w:tc>
        <w:tc>
          <w:tcPr>
            <w:tcW w:type="dxa" w:w="1440"/>
          </w:tcPr>
          <w:p>
            <w:r/>
            <w:r>
              <w:t>781.642</w:t>
            </w:r>
          </w:p>
        </w:tc>
        <w:tc>
          <w:tcPr>
            <w:tcW w:type="dxa" w:w="1440"/>
          </w:tcPr>
          <w:p>
            <w:r/>
            <w:r>
              <w:t>-42,8%</w:t>
            </w:r>
          </w:p>
        </w:tc>
        <w:tc>
          <w:tcPr>
            <w:tcW w:type="dxa" w:w="1440"/>
          </w:tcPr>
          <w:p>
            <w:r/>
            <w:r>
              <w:t>+193,0%</w:t>
            </w:r>
          </w:p>
        </w:tc>
      </w:tr>
      <w:tr>
        <w:tc>
          <w:tcPr>
            <w:tcW w:type="dxa" w:w="1440"/>
          </w:tcPr>
          <w:p>
            <w:r/>
            <w:r>
              <w:t>Nợ dài hạn</w:t>
            </w:r>
          </w:p>
        </w:tc>
        <w:tc>
          <w:tcPr>
            <w:tcW w:type="dxa" w:w="1440"/>
          </w:tcPr>
          <w:p>
            <w:r/>
            <w:r>
              <w:t>1.139</w:t>
            </w:r>
          </w:p>
        </w:tc>
        <w:tc>
          <w:tcPr>
            <w:tcW w:type="dxa" w:w="1440"/>
          </w:tcPr>
          <w:p>
            <w:r/>
            <w:r>
              <w:t>120.318</w:t>
            </w:r>
          </w:p>
        </w:tc>
        <w:tc>
          <w:tcPr>
            <w:tcW w:type="dxa" w:w="1440"/>
          </w:tcPr>
          <w:p>
            <w:r/>
            <w:r>
              <w:t>120.271</w:t>
            </w:r>
          </w:p>
        </w:tc>
        <w:tc>
          <w:tcPr>
            <w:tcW w:type="dxa" w:w="1440"/>
          </w:tcPr>
          <w:p>
            <w:r/>
            <w:r>
              <w:t>+10.470%</w:t>
            </w:r>
          </w:p>
        </w:tc>
        <w:tc>
          <w:tcPr>
            <w:tcW w:type="dxa" w:w="1440"/>
          </w:tcPr>
          <w:p>
            <w:r/>
            <w:r>
              <w:t>-0,04%</w:t>
            </w:r>
          </w:p>
        </w:tc>
      </w:tr>
      <w:tr>
        <w:tc>
          <w:tcPr>
            <w:tcW w:type="dxa" w:w="1440"/>
          </w:tcPr>
          <w:p>
            <w:r/>
            <w:r>
              <w:t>Vốn chủ sở hữu</w:t>
            </w:r>
          </w:p>
        </w:tc>
        <w:tc>
          <w:tcPr>
            <w:tcW w:type="dxa" w:w="1440"/>
          </w:tcPr>
          <w:p>
            <w:r/>
            <w:r>
              <w:t>834.051</w:t>
            </w:r>
          </w:p>
        </w:tc>
        <w:tc>
          <w:tcPr>
            <w:tcW w:type="dxa" w:w="1440"/>
          </w:tcPr>
          <w:p>
            <w:r/>
            <w:r>
              <w:t>831.845</w:t>
            </w:r>
          </w:p>
        </w:tc>
        <w:tc>
          <w:tcPr>
            <w:tcW w:type="dxa" w:w="1440"/>
          </w:tcPr>
          <w:p>
            <w:r/>
            <w:r>
              <w:t>848.661</w:t>
            </w:r>
          </w:p>
        </w:tc>
        <w:tc>
          <w:tcPr>
            <w:tcW w:type="dxa" w:w="1440"/>
          </w:tcPr>
          <w:p>
            <w:r/>
            <w:r>
              <w:t>-0,3%</w:t>
            </w:r>
          </w:p>
        </w:tc>
        <w:tc>
          <w:tcPr>
            <w:tcW w:type="dxa" w:w="1440"/>
          </w:tcPr>
          <w:p>
            <w:r/>
            <w:r>
              <w:t>+2,0%</w:t>
            </w:r>
          </w:p>
        </w:tc>
      </w:tr>
    </w:tbl>
    <w:p>
      <w:r>
        <w:t>Nhận xét: Tổng tài sản năm 2024 tăng mạnh 43,6% so với 2023, chủ yếu do tài sản ngắn hạn tăng vọt 339,9%. Tổng nợ tăng 133%, trong đó nợ ngắn hạn tăng 193% khiến cơ cấu nợ nghiêng về ngắn hạn (86,7% tổng nợ).</w:t>
      </w:r>
    </w:p>
    <w:p>
      <w:pPr>
        <w:pStyle w:val="Heading2"/>
      </w:pPr>
      <w:r>
        <w:t>3.2 Kết quả hoạt động kinh doanh</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Chỉ tiêu</w:t>
            </w:r>
          </w:p>
        </w:tc>
        <w:tc>
          <w:tcPr>
            <w:tcW w:type="dxa" w:w="1440"/>
          </w:tcPr>
          <w:p>
            <w:r/>
            <w:r>
              <w:rPr>
                <w:b/>
              </w:rPr>
              <w:t>2022</w:t>
            </w:r>
          </w:p>
        </w:tc>
        <w:tc>
          <w:tcPr>
            <w:tcW w:type="dxa" w:w="1440"/>
          </w:tcPr>
          <w:p>
            <w:r/>
            <w:r>
              <w:rPr>
                <w:b/>
              </w:rPr>
              <w:t>2023</w:t>
            </w:r>
          </w:p>
        </w:tc>
        <w:tc>
          <w:tcPr>
            <w:tcW w:type="dxa" w:w="1440"/>
          </w:tcPr>
          <w:p>
            <w:r/>
            <w:r>
              <w:rPr>
                <w:b/>
              </w:rPr>
              <w:t>2024</w:t>
            </w:r>
          </w:p>
        </w:tc>
        <w:tc>
          <w:tcPr>
            <w:tcW w:type="dxa" w:w="1440"/>
          </w:tcPr>
          <w:p>
            <w:r/>
            <w:r>
              <w:rPr>
                <w:b/>
              </w:rPr>
              <w:t>23/22</w:t>
            </w:r>
          </w:p>
        </w:tc>
        <w:tc>
          <w:tcPr>
            <w:tcW w:type="dxa" w:w="1440"/>
          </w:tcPr>
          <w:p>
            <w:r/>
            <w:r>
              <w:rPr>
                <w:b/>
              </w:rPr>
              <w:t>24/23</w:t>
            </w:r>
          </w:p>
        </w:tc>
      </w:tr>
      <w:tr>
        <w:tc>
          <w:tcPr>
            <w:tcW w:type="dxa" w:w="1440"/>
          </w:tcPr>
          <w:p>
            <w:r/>
            <w:r>
              <w:t>Doanh thu thuần</w:t>
            </w:r>
          </w:p>
        </w:tc>
        <w:tc>
          <w:tcPr>
            <w:tcW w:type="dxa" w:w="1440"/>
          </w:tcPr>
          <w:p>
            <w:r/>
            <w:r>
              <w:t>374.832</w:t>
            </w:r>
          </w:p>
        </w:tc>
        <w:tc>
          <w:tcPr>
            <w:tcW w:type="dxa" w:w="1440"/>
          </w:tcPr>
          <w:p>
            <w:r/>
            <w:r>
              <w:t>1.207.223</w:t>
            </w:r>
          </w:p>
        </w:tc>
        <w:tc>
          <w:tcPr>
            <w:tcW w:type="dxa" w:w="1440"/>
          </w:tcPr>
          <w:p>
            <w:r/>
            <w:r>
              <w:t>1.273.891</w:t>
            </w:r>
          </w:p>
        </w:tc>
        <w:tc>
          <w:tcPr>
            <w:tcW w:type="dxa" w:w="1440"/>
          </w:tcPr>
          <w:p>
            <w:r/>
            <w:r>
              <w:t>+222,1%</w:t>
            </w:r>
          </w:p>
        </w:tc>
        <w:tc>
          <w:tcPr>
            <w:tcW w:type="dxa" w:w="1440"/>
          </w:tcPr>
          <w:p>
            <w:r/>
            <w:r>
              <w:t>+5,5%</w:t>
            </w:r>
          </w:p>
        </w:tc>
      </w:tr>
      <w:tr>
        <w:tc>
          <w:tcPr>
            <w:tcW w:type="dxa" w:w="1440"/>
          </w:tcPr>
          <w:p>
            <w:r/>
            <w:r>
              <w:t>Giá vốn</w:t>
            </w:r>
          </w:p>
        </w:tc>
        <w:tc>
          <w:tcPr>
            <w:tcW w:type="dxa" w:w="1440"/>
          </w:tcPr>
          <w:p>
            <w:r/>
            <w:r>
              <w:t>342.180</w:t>
            </w:r>
          </w:p>
        </w:tc>
        <w:tc>
          <w:tcPr>
            <w:tcW w:type="dxa" w:w="1440"/>
          </w:tcPr>
          <w:p>
            <w:r/>
            <w:r>
              <w:t>1.201.211</w:t>
            </w:r>
          </w:p>
        </w:tc>
        <w:tc>
          <w:tcPr>
            <w:tcW w:type="dxa" w:w="1440"/>
          </w:tcPr>
          <w:p>
            <w:r/>
            <w:r>
              <w:t>1.246.634</w:t>
            </w:r>
          </w:p>
        </w:tc>
        <w:tc>
          <w:tcPr>
            <w:tcW w:type="dxa" w:w="1440"/>
          </w:tcPr>
          <w:p>
            <w:r/>
            <w:r>
              <w:t>+251,1%</w:t>
            </w:r>
          </w:p>
        </w:tc>
        <w:tc>
          <w:tcPr>
            <w:tcW w:type="dxa" w:w="1440"/>
          </w:tcPr>
          <w:p>
            <w:r/>
            <w:r>
              <w:t>+3,8%</w:t>
            </w:r>
          </w:p>
        </w:tc>
      </w:tr>
      <w:tr>
        <w:tc>
          <w:tcPr>
            <w:tcW w:type="dxa" w:w="1440"/>
          </w:tcPr>
          <w:p>
            <w:r/>
            <w:r>
              <w:t>Lợi nhuận gộp</w:t>
            </w:r>
          </w:p>
        </w:tc>
        <w:tc>
          <w:tcPr>
            <w:tcW w:type="dxa" w:w="1440"/>
          </w:tcPr>
          <w:p>
            <w:r/>
            <w:r>
              <w:t>32.652</w:t>
            </w:r>
          </w:p>
        </w:tc>
        <w:tc>
          <w:tcPr>
            <w:tcW w:type="dxa" w:w="1440"/>
          </w:tcPr>
          <w:p>
            <w:r/>
            <w:r>
              <w:t>6.012</w:t>
            </w:r>
          </w:p>
        </w:tc>
        <w:tc>
          <w:tcPr>
            <w:tcW w:type="dxa" w:w="1440"/>
          </w:tcPr>
          <w:p>
            <w:r/>
            <w:r>
              <w:t>27.257</w:t>
            </w:r>
          </w:p>
        </w:tc>
        <w:tc>
          <w:tcPr>
            <w:tcW w:type="dxa" w:w="1440"/>
          </w:tcPr>
          <w:p>
            <w:r/>
            <w:r>
              <w:t>-81,6%</w:t>
            </w:r>
          </w:p>
        </w:tc>
        <w:tc>
          <w:tcPr>
            <w:tcW w:type="dxa" w:w="1440"/>
          </w:tcPr>
          <w:p>
            <w:r/>
            <w:r>
              <w:t>+353,4%</w:t>
            </w:r>
          </w:p>
        </w:tc>
      </w:tr>
      <w:tr>
        <w:tc>
          <w:tcPr>
            <w:tcW w:type="dxa" w:w="1440"/>
          </w:tcPr>
          <w:p>
            <w:r/>
            <w:r>
              <w:t>LN trước thuế</w:t>
            </w:r>
          </w:p>
        </w:tc>
        <w:tc>
          <w:tcPr>
            <w:tcW w:type="dxa" w:w="1440"/>
          </w:tcPr>
          <w:p>
            <w:r/>
            <w:r>
              <w:t>80.866</w:t>
            </w:r>
          </w:p>
        </w:tc>
        <w:tc>
          <w:tcPr>
            <w:tcW w:type="dxa" w:w="1440"/>
          </w:tcPr>
          <w:p>
            <w:r/>
            <w:r>
              <w:t>90.132</w:t>
            </w:r>
          </w:p>
        </w:tc>
        <w:tc>
          <w:tcPr>
            <w:tcW w:type="dxa" w:w="1440"/>
          </w:tcPr>
          <w:p>
            <w:r/>
            <w:r>
              <w:t>22.432</w:t>
            </w:r>
          </w:p>
        </w:tc>
        <w:tc>
          <w:tcPr>
            <w:tcW w:type="dxa" w:w="1440"/>
          </w:tcPr>
          <w:p>
            <w:r/>
            <w:r>
              <w:t>+11,5%</w:t>
            </w:r>
          </w:p>
        </w:tc>
        <w:tc>
          <w:tcPr>
            <w:tcW w:type="dxa" w:w="1440"/>
          </w:tcPr>
          <w:p>
            <w:r/>
            <w:r>
              <w:t>-75,1%</w:t>
            </w:r>
          </w:p>
        </w:tc>
      </w:tr>
      <w:tr>
        <w:tc>
          <w:tcPr>
            <w:tcW w:type="dxa" w:w="1440"/>
          </w:tcPr>
          <w:p>
            <w:r/>
            <w:r>
              <w:t>LN sau thuế</w:t>
            </w:r>
          </w:p>
        </w:tc>
        <w:tc>
          <w:tcPr>
            <w:tcW w:type="dxa" w:w="1440"/>
          </w:tcPr>
          <w:p>
            <w:r/>
            <w:r>
              <w:t>72.365</w:t>
            </w:r>
          </w:p>
        </w:tc>
        <w:tc>
          <w:tcPr>
            <w:tcW w:type="dxa" w:w="1440"/>
          </w:tcPr>
          <w:p>
            <w:r/>
            <w:r>
              <w:t>68.295</w:t>
            </w:r>
          </w:p>
        </w:tc>
        <w:tc>
          <w:tcPr>
            <w:tcW w:type="dxa" w:w="1440"/>
          </w:tcPr>
          <w:p>
            <w:r/>
            <w:r>
              <w:t>17.140</w:t>
            </w:r>
          </w:p>
        </w:tc>
        <w:tc>
          <w:tcPr>
            <w:tcW w:type="dxa" w:w="1440"/>
          </w:tcPr>
          <w:p>
            <w:r/>
            <w:r>
              <w:t>-5,6%</w:t>
            </w:r>
          </w:p>
        </w:tc>
        <w:tc>
          <w:tcPr>
            <w:tcW w:type="dxa" w:w="1440"/>
          </w:tcPr>
          <w:p>
            <w:r/>
            <w:r>
              <w:t>-74,9%</w:t>
            </w:r>
          </w:p>
        </w:tc>
      </w:tr>
    </w:tbl>
    <w:p>
      <w:r>
        <w:t>Nhận xét: Doanh thu 2024 tăng trưởng chậm lại (5,5% so với 222% năm 2023), trong khi LNST sụt 74,9% do biên lợi nhuận gộp chỉ đạt 2,14% (thấp hơn 6,57 điểm % so với 2022).</w:t>
      </w:r>
    </w:p>
    <w:p>
      <w:pPr>
        <w:pStyle w:val="Heading2"/>
      </w:pPr>
      <w:r>
        <w:t>3.3 Các chỉ số tài chính chủ yếu</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Chỉ số</w:t>
            </w:r>
          </w:p>
        </w:tc>
        <w:tc>
          <w:tcPr>
            <w:tcW w:type="dxa" w:w="1440"/>
          </w:tcPr>
          <w:p>
            <w:r/>
            <w:r>
              <w:rPr>
                <w:b/>
              </w:rPr>
              <w:t>2022</w:t>
            </w:r>
          </w:p>
        </w:tc>
        <w:tc>
          <w:tcPr>
            <w:tcW w:type="dxa" w:w="1440"/>
          </w:tcPr>
          <w:p>
            <w:r/>
            <w:r>
              <w:rPr>
                <w:b/>
              </w:rPr>
              <w:t>2023</w:t>
            </w:r>
          </w:p>
        </w:tc>
        <w:tc>
          <w:tcPr>
            <w:tcW w:type="dxa" w:w="1440"/>
          </w:tcPr>
          <w:p>
            <w:r/>
            <w:r>
              <w:rPr>
                <w:b/>
              </w:rPr>
              <w:t>2024</w:t>
            </w:r>
          </w:p>
        </w:tc>
        <w:tc>
          <w:tcPr>
            <w:tcW w:type="dxa" w:w="1440"/>
          </w:tcPr>
          <w:p>
            <w:r/>
            <w:r>
              <w:rPr>
                <w:b/>
              </w:rPr>
              <w:t>TB ngành*</w:t>
            </w:r>
          </w:p>
        </w:tc>
        <w:tc>
          <w:tcPr>
            <w:tcW w:type="dxa" w:w="1440"/>
          </w:tcPr>
          <w:p>
            <w:r/>
            <w:r>
              <w:rPr>
                <w:b/>
              </w:rPr>
              <w:t>Đánh giá 2024</w:t>
            </w:r>
          </w:p>
        </w:tc>
      </w:tr>
      <w:tr>
        <w:tc>
          <w:tcPr>
            <w:tcW w:type="dxa" w:w="1440"/>
          </w:tcPr>
          <w:p>
            <w:r/>
            <w:r>
              <w:t>Current ratio</w:t>
            </w:r>
          </w:p>
        </w:tc>
        <w:tc>
          <w:tcPr>
            <w:tcW w:type="dxa" w:w="1440"/>
          </w:tcPr>
          <w:p>
            <w:r/>
            <w:r>
              <w:t>0,62</w:t>
            </w:r>
          </w:p>
        </w:tc>
        <w:tc>
          <w:tcPr>
            <w:tcW w:type="dxa" w:w="1440"/>
          </w:tcPr>
          <w:p>
            <w:r/>
            <w:r>
              <w:t>0,76</w:t>
            </w:r>
          </w:p>
        </w:tc>
        <w:tc>
          <w:tcPr>
            <w:tcW w:type="dxa" w:w="1440"/>
          </w:tcPr>
          <w:p>
            <w:r/>
            <w:r>
              <w:t>1,14</w:t>
            </w:r>
          </w:p>
        </w:tc>
        <w:tc>
          <w:tcPr>
            <w:tcW w:type="dxa" w:w="1440"/>
          </w:tcPr>
          <w:p>
            <w:r/>
            <w:r>
              <w:t>≥1,2</w:t>
            </w:r>
          </w:p>
        </w:tc>
        <w:tc>
          <w:tcPr>
            <w:tcW w:type="dxa" w:w="1440"/>
          </w:tcPr>
          <w:p>
            <w:r/>
            <w:r>
              <w:t>Đạt 95% ngưỡng</w:t>
            </w:r>
          </w:p>
        </w:tc>
      </w:tr>
      <w:tr>
        <w:tc>
          <w:tcPr>
            <w:tcW w:type="dxa" w:w="1440"/>
          </w:tcPr>
          <w:p>
            <w:r/>
            <w:r>
              <w:t>Quick ratio</w:t>
            </w:r>
          </w:p>
        </w:tc>
        <w:tc>
          <w:tcPr>
            <w:tcW w:type="dxa" w:w="1440"/>
          </w:tcPr>
          <w:p>
            <w:r/>
            <w:r>
              <w:t>0,58</w:t>
            </w:r>
          </w:p>
        </w:tc>
        <w:tc>
          <w:tcPr>
            <w:tcW w:type="dxa" w:w="1440"/>
          </w:tcPr>
          <w:p>
            <w:r/>
            <w:r>
              <w:t>0,74</w:t>
            </w:r>
          </w:p>
        </w:tc>
        <w:tc>
          <w:tcPr>
            <w:tcW w:type="dxa" w:w="1440"/>
          </w:tcPr>
          <w:p>
            <w:r/>
            <w:r>
              <w:t>1,14</w:t>
            </w:r>
          </w:p>
        </w:tc>
        <w:tc>
          <w:tcPr>
            <w:tcW w:type="dxa" w:w="1440"/>
          </w:tcPr>
          <w:p>
            <w:r/>
            <w:r>
              <w:t>≥1,0</w:t>
            </w:r>
          </w:p>
        </w:tc>
        <w:tc>
          <w:tcPr>
            <w:tcW w:type="dxa" w:w="1440"/>
          </w:tcPr>
          <w:p>
            <w:r/>
            <w:r>
              <w:t>Vượt nhẹ</w:t>
            </w:r>
          </w:p>
        </w:tc>
      </w:tr>
      <w:tr>
        <w:tc>
          <w:tcPr>
            <w:tcW w:type="dxa" w:w="1440"/>
          </w:tcPr>
          <w:p>
            <w:r/>
            <w:r>
              <w:t>ROA (%)</w:t>
            </w:r>
          </w:p>
        </w:tc>
        <w:tc>
          <w:tcPr>
            <w:tcW w:type="dxa" w:w="1440"/>
          </w:tcPr>
          <w:p>
            <w:r/>
            <w:r>
              <w:t>5,56</w:t>
            </w:r>
          </w:p>
        </w:tc>
        <w:tc>
          <w:tcPr>
            <w:tcW w:type="dxa" w:w="1440"/>
          </w:tcPr>
          <w:p>
            <w:r/>
            <w:r>
              <w:t>5,60</w:t>
            </w:r>
          </w:p>
        </w:tc>
        <w:tc>
          <w:tcPr>
            <w:tcW w:type="dxa" w:w="1440"/>
          </w:tcPr>
          <w:p>
            <w:r/>
            <w:r>
              <w:t>0,98</w:t>
            </w:r>
          </w:p>
        </w:tc>
        <w:tc>
          <w:tcPr>
            <w:tcW w:type="dxa" w:w="1440"/>
          </w:tcPr>
          <w:p>
            <w:r/>
            <w:r>
              <w:t>≥3,0</w:t>
            </w:r>
          </w:p>
        </w:tc>
        <w:tc>
          <w:tcPr>
            <w:tcW w:type="dxa" w:w="1440"/>
          </w:tcPr>
          <w:p>
            <w:r/>
            <w:r>
              <w:t>Dưới 1/3</w:t>
            </w:r>
          </w:p>
        </w:tc>
      </w:tr>
      <w:tr>
        <w:tc>
          <w:tcPr>
            <w:tcW w:type="dxa" w:w="1440"/>
          </w:tcPr>
          <w:p>
            <w:r/>
            <w:r>
              <w:t>ROE (%)</w:t>
            </w:r>
          </w:p>
        </w:tc>
        <w:tc>
          <w:tcPr>
            <w:tcW w:type="dxa" w:w="1440"/>
          </w:tcPr>
          <w:p>
            <w:r/>
            <w:r>
              <w:t>8,68</w:t>
            </w:r>
          </w:p>
        </w:tc>
        <w:tc>
          <w:tcPr>
            <w:tcW w:type="dxa" w:w="1440"/>
          </w:tcPr>
          <w:p>
            <w:r/>
            <w:r>
              <w:t>8,21</w:t>
            </w:r>
          </w:p>
        </w:tc>
        <w:tc>
          <w:tcPr>
            <w:tcW w:type="dxa" w:w="1440"/>
          </w:tcPr>
          <w:p>
            <w:r/>
            <w:r>
              <w:t>2,02</w:t>
            </w:r>
          </w:p>
        </w:tc>
        <w:tc>
          <w:tcPr>
            <w:tcW w:type="dxa" w:w="1440"/>
          </w:tcPr>
          <w:p>
            <w:r/>
            <w:r>
              <w:t>≥10</w:t>
            </w:r>
          </w:p>
        </w:tc>
        <w:tc>
          <w:tcPr>
            <w:tcW w:type="dxa" w:w="1440"/>
          </w:tcPr>
          <w:p>
            <w:r/>
            <w:r>
              <w:t>Chưa tới 1/5</w:t>
            </w:r>
          </w:p>
        </w:tc>
      </w:tr>
      <w:tr>
        <w:tc>
          <w:tcPr>
            <w:tcW w:type="dxa" w:w="1440"/>
          </w:tcPr>
          <w:p>
            <w:r/>
            <w:r>
              <w:t>Net profit margin (%)</w:t>
            </w:r>
          </w:p>
        </w:tc>
        <w:tc>
          <w:tcPr>
            <w:tcW w:type="dxa" w:w="1440"/>
          </w:tcPr>
          <w:p>
            <w:r/>
            <w:r>
              <w:t>19,31</w:t>
            </w:r>
          </w:p>
        </w:tc>
        <w:tc>
          <w:tcPr>
            <w:tcW w:type="dxa" w:w="1440"/>
          </w:tcPr>
          <w:p>
            <w:r/>
            <w:r>
              <w:t>5,66</w:t>
            </w:r>
          </w:p>
        </w:tc>
        <w:tc>
          <w:tcPr>
            <w:tcW w:type="dxa" w:w="1440"/>
          </w:tcPr>
          <w:p>
            <w:r/>
            <w:r>
              <w:t>1,35</w:t>
            </w:r>
          </w:p>
        </w:tc>
        <w:tc>
          <w:tcPr>
            <w:tcW w:type="dxa" w:w="1440"/>
          </w:tcPr>
          <w:p>
            <w:r/>
            <w:r>
              <w:t>≥5%</w:t>
            </w:r>
          </w:p>
        </w:tc>
        <w:tc>
          <w:tcPr>
            <w:tcW w:type="dxa" w:w="1440"/>
          </w:tcPr>
          <w:p>
            <w:r/>
            <w:r>
              <w:t>Thấp hơn 3,65 điểm %</w:t>
            </w:r>
          </w:p>
        </w:tc>
      </w:tr>
      <w:tr>
        <w:tc>
          <w:tcPr>
            <w:tcW w:type="dxa" w:w="1440"/>
          </w:tcPr>
          <w:p>
            <w:r/>
            <w:r>
              <w:t>D/E</w:t>
            </w:r>
          </w:p>
        </w:tc>
        <w:tc>
          <w:tcPr>
            <w:tcW w:type="dxa" w:w="1440"/>
          </w:tcPr>
          <w:p>
            <w:r/>
            <w:r>
              <w:t>0,56</w:t>
            </w:r>
          </w:p>
        </w:tc>
        <w:tc>
          <w:tcPr>
            <w:tcW w:type="dxa" w:w="1440"/>
          </w:tcPr>
          <w:p>
            <w:r/>
            <w:r>
              <w:t>0,47</w:t>
            </w:r>
          </w:p>
        </w:tc>
        <w:tc>
          <w:tcPr>
            <w:tcW w:type="dxa" w:w="1440"/>
          </w:tcPr>
          <w:p>
            <w:r/>
            <w:r>
              <w:t>1,06</w:t>
            </w:r>
          </w:p>
        </w:tc>
        <w:tc>
          <w:tcPr>
            <w:tcW w:type="dxa" w:w="1440"/>
          </w:tcPr>
          <w:p>
            <w:r/>
            <w:r>
              <w:t>≤1,5</w:t>
            </w:r>
          </w:p>
        </w:tc>
        <w:tc>
          <w:tcPr>
            <w:tcW w:type="dxa" w:w="1440"/>
          </w:tcPr>
          <w:p>
            <w:r/>
            <w:r>
              <w:t>Trong giới hạn</w:t>
            </w:r>
          </w:p>
        </w:tc>
      </w:tr>
    </w:tbl>
    <w:p>
      <w:r>
        <w:t>*Ngưỡng bình quân ngành xây lắp công nghiệp</w:t>
      </w:r>
    </w:p>
    <w:p>
      <w:r>
        <w:t>Nhận xét: Khả năng thanh toán ngắn hạn đã cải thiện (current ratio từ 0,62 lên 1,14) nhưng hiệu suất sinh lời suy giảm mạnh: ROA giảm từ 5,6% xuống 0,98%, ROE giảm từ 8,68% xuống 2,02%. Đòn bẩy tài chính tăng gấp đôi (D/E từ 0,47 lên 1,06) nhưng vẫn trong ngưỡng an toàn.</w:t>
      </w:r>
    </w:p>
    <w:p>
      <w:pPr>
        <w:pStyle w:val="Heading2"/>
      </w:pPr>
      <w:r>
        <w:t>3.4 Đánh giá tổng thể</w:t>
      </w:r>
    </w:p>
    <w:p>
      <w:r/>
      <w:r>
        <w:rPr>
          <w:b/>
        </w:rPr>
        <w:t>Điểm mạnh:</w:t>
      </w:r>
      <w:r/>
    </w:p>
    <w:p>
      <w:pPr>
        <w:pStyle w:val="ListParagraph"/>
      </w:pPr>
      <w:r>
        <w:t>• Tổng tài sản tăng trưởng mạnh 43,6% trong năm 2024, đạt 1.750 tỷ đồng, thể hiện khả năng mở rộng quy mô.</w:t>
      </w:r>
    </w:p>
    <w:p>
      <w:pPr>
        <w:pStyle w:val="ListParagraph"/>
      </w:pPr>
      <w:r>
        <w:t>• Khả năng thanh toán ngắn hạn được cải thiện rõ rệt với current ratio tăng từ 0,62 (2022) lên 1,14 (2024).</w:t>
      </w:r>
    </w:p>
    <w:p>
      <w:r/>
      <w:r>
        <w:rPr>
          <w:b/>
        </w:rPr>
        <w:t>Điểm yếu:</w:t>
      </w:r>
      <w:r/>
    </w:p>
    <w:p>
      <w:pPr>
        <w:pStyle w:val="ListParagraph"/>
      </w:pPr>
      <w:r>
        <w:t>• Hiệu suất sinh lời sụt giảm nghiêm trọng: ROE giảm từ 8,68% (2022) xuống 2,02% (2024), biên lợi nhuận ròng chỉ còn 1,35%.</w:t>
      </w:r>
    </w:p>
    <w:p>
      <w:pPr>
        <w:pStyle w:val="ListParagraph"/>
      </w:pPr>
      <w:r>
        <w:t>• Dòng tiền kinh doanh âm 163,5 tỷ đồng năm 2024, cho thấy hoạt động sản xuất kinh doanh chưa tự cân bằng được dòng tiền.</w:t>
      </w:r>
    </w:p>
    <w:p>
      <w:r/>
      <w:r>
        <w:rPr>
          <w:b/>
        </w:rPr>
        <w:t>Rủi ro tín dụng chính:</w:t>
      </w:r>
      <w:r/>
    </w:p>
    <w:p>
      <w:pPr>
        <w:pStyle w:val="ListParagraph"/>
      </w:pPr>
      <w:r>
        <w:t>• Cơ cấu nợ nghiêng về ngắn hạn (86,7% tổng nợ) kết hợp với dòng tiền âm có thể dẫn đến áp lực trả nợ ngắn hạn tăng cao trong kỳ tới.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