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ECA4" w14:textId="77777777" w:rsidR="00035BA2" w:rsidRDefault="00035BA2" w:rsidP="00035BA2">
      <w:r>
        <w:t>— XAUUSD/H4 —</w:t>
      </w:r>
    </w:p>
    <w:p w14:paraId="269E564D" w14:textId="77777777" w:rsidR="00035BA2" w:rsidRDefault="00035BA2" w:rsidP="00035BA2"/>
    <w:p w14:paraId="2361923B" w14:textId="77777777" w:rsidR="00035BA2" w:rsidRDefault="00035BA2" w:rsidP="00035BA2">
      <w:r>
        <w:t>Market Update</w:t>
      </w:r>
    </w:p>
    <w:p w14:paraId="71339522" w14:textId="77777777" w:rsidR="00035BA2" w:rsidRDefault="00035BA2" w:rsidP="00035BA2">
      <w:r>
        <w:t>Following a strong corrective move from the All-Time High (ATH), the market has formed a clear Swing Low and is showing signs of a technical recovery.</w:t>
      </w:r>
    </w:p>
    <w:p w14:paraId="62ED1FED" w14:textId="77777777" w:rsidR="00035BA2" w:rsidRDefault="00035BA2" w:rsidP="00035BA2">
      <w:r>
        <w:t>  - The prior bullish structure has been invalidated, with the market confirming a Bearish Break of Structure, indicating a shift in the medium-term market behavior.</w:t>
      </w:r>
    </w:p>
    <w:p w14:paraId="3DEEBA90" w14:textId="77777777" w:rsidR="00035BA2" w:rsidRDefault="00035BA2" w:rsidP="00035BA2">
      <w:r>
        <w:t>  - Price is currently in a recovery phase, moving back toward the 5070 area, which aligns with the Golden Ratio Fibonacci 0.618 and is considered the primary retracement target.</w:t>
      </w:r>
    </w:p>
    <w:p w14:paraId="0A77FCA2" w14:textId="77777777" w:rsidR="00035BA2" w:rsidRDefault="00035BA2" w:rsidP="00035BA2"/>
    <w:p w14:paraId="38238FEB" w14:textId="77777777" w:rsidR="00035BA2" w:rsidRDefault="00035BA2" w:rsidP="00035BA2">
      <w:r>
        <w:rPr>
          <w:rFonts w:ascii="Segoe UI Emoji" w:hAnsi="Segoe UI Emoji" w:cs="Segoe UI Emoji"/>
        </w:rPr>
        <w:t>📌</w:t>
      </w:r>
      <w:r>
        <w:t xml:space="preserve"> Liquidity Price Range (Intraday Pullback Area): 4660 zone</w:t>
      </w:r>
    </w:p>
    <w:p w14:paraId="475505A2" w14:textId="77777777" w:rsidR="00035BA2" w:rsidRDefault="00035BA2" w:rsidP="00035BA2">
      <w:r>
        <w:t>  - This area represents a liquidity-rich price range, where a short-term pullback may occur during today’s session before the recovery leg continues.</w:t>
      </w:r>
    </w:p>
    <w:p w14:paraId="23C5FAD5" w14:textId="77777777" w:rsidR="00035BA2" w:rsidRDefault="00035BA2" w:rsidP="00035BA2"/>
    <w:p w14:paraId="7D349531" w14:textId="77777777" w:rsidR="00035BA2" w:rsidRDefault="00035BA2" w:rsidP="00035BA2">
      <w:r>
        <w:rPr>
          <w:rFonts w:ascii="Segoe UI Emoji" w:hAnsi="Segoe UI Emoji" w:cs="Segoe UI Emoji"/>
        </w:rPr>
        <w:t>📌</w:t>
      </w:r>
      <w:r>
        <w:t xml:space="preserve"> Main Scenario:</w:t>
      </w:r>
    </w:p>
    <w:p w14:paraId="654C7481" w14:textId="77777777" w:rsidR="00035BA2" w:rsidRDefault="00035BA2" w:rsidP="00035BA2">
      <w:r>
        <w:t>- If bullish momentum during the retracement remains intact, the market still has room for a corrective extension toward the: 5215 – 5240 zone</w:t>
      </w:r>
    </w:p>
    <w:p w14:paraId="411E74DF" w14:textId="77777777" w:rsidR="00035BA2" w:rsidRDefault="00035BA2" w:rsidP="00035BA2">
      <w:r>
        <w:t>- This area represents a key H4 Supply Zone, where a strong price reaction is expected.</w:t>
      </w:r>
    </w:p>
    <w:p w14:paraId="48765A17" w14:textId="77777777" w:rsidR="00035BA2" w:rsidRDefault="00035BA2" w:rsidP="00035BA2"/>
    <w:p w14:paraId="7F6AFE57" w14:textId="77777777" w:rsidR="00035BA2" w:rsidRDefault="00035BA2" w:rsidP="00035BA2">
      <w:r>
        <w:rPr>
          <w:rFonts w:ascii="Segoe UI Emoji" w:hAnsi="Segoe UI Emoji" w:cs="Segoe UI Emoji"/>
        </w:rPr>
        <w:t>📌</w:t>
      </w:r>
      <w:r>
        <w:t xml:space="preserve"> Key Structural Support:</w:t>
      </w:r>
    </w:p>
    <w:p w14:paraId="46AC5594" w14:textId="77777777" w:rsidR="00035BA2" w:rsidRDefault="00035BA2" w:rsidP="00035BA2">
      <w:r>
        <w:t>Demand Zone: 4471 – 4460</w:t>
      </w:r>
    </w:p>
    <w:p w14:paraId="5C5BDFE9" w14:textId="77777777" w:rsidR="00035BA2" w:rsidRDefault="00035BA2" w:rsidP="00035BA2">
      <w:r>
        <w:t xml:space="preserve">  - This zone is critical for maintaining the broader market structure. As long as </w:t>
      </w:r>
      <w:proofErr w:type="gramStart"/>
      <w:r>
        <w:t>price holds</w:t>
      </w:r>
      <w:proofErr w:type="gramEnd"/>
      <w:r>
        <w:t xml:space="preserve"> above this level, the current recovery and consolidation scenario remains valid.</w:t>
      </w:r>
    </w:p>
    <w:p w14:paraId="4BA9E2FB" w14:textId="77777777" w:rsidR="00035BA2" w:rsidRDefault="00035BA2" w:rsidP="00035BA2"/>
    <w:p w14:paraId="06858439" w14:textId="4F75A241" w:rsidR="007456B1" w:rsidRDefault="00035BA2" w:rsidP="00035BA2">
      <w:r>
        <w:t>The current move should be viewed as a retracement within a broken structure, therefore price behavior at the H4 Supply Zone and liquidity zones will be decisive in determining the next directional move.</w:t>
      </w:r>
    </w:p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30"/>
    <w:rsid w:val="00035BA2"/>
    <w:rsid w:val="002916DB"/>
    <w:rsid w:val="002D4630"/>
    <w:rsid w:val="007456B1"/>
    <w:rsid w:val="008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E87BB-3D55-4B06-A422-66F4D05C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2026-02-04T04:51:00Z</dcterms:created>
  <dcterms:modified xsi:type="dcterms:W3CDTF">2026-02-04T04:51:00Z</dcterms:modified>
</cp:coreProperties>
</file>