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Phạm vi và kế hoạch triển khai EAS</w:t>
      </w:r>
    </w:p>
    <w:p>
      <w:pPr>
        <w:pStyle w:val="Subtitle"/>
      </w:pPr>
      <w:r>
        <w:t>Cơ sở chốt yêu cầu và quản lý thay đổi trong hai tháng</w:t>
      </w:r>
    </w:p>
    <w:p>
      <w:r>
        <w:t>Phiên bản 2.0 | Ngày 21/09/2026 | Trạng thái Chờ xác nhận nghiệp vụ và kế hoạch</w:t>
      </w:r>
    </w:p>
    <w:p>
      <w:r>
        <w:t>Bản 2.0 sửa các thiếu sót của bộ 1.0 và định nghĩa một MVP có thể vận hành nội bộ sau nghiệm thu. Sáu tài liệu đi cùng tạo một bộ nhất quán; các file SQL, test và sơ đồ 1.0 đã bị thay thế về mặt đặc tả. Khách hàng còn phải xác nhận KD01–KD08; chưa có chữ ký hoặc kết quả kiểm thử thực thi được coi là đã đạt.</w:t>
      </w:r>
    </w:p>
    <w:p>
      <w:pPr>
        <w:pStyle w:val="Heading1"/>
      </w:pPr>
      <w:r>
        <w:t>1 Sản phẩm và ranh giới bàn giao</w:t>
      </w:r>
    </w:p>
    <w:p>
      <w:r>
        <w:t>EAS tiếp nhận, phê duyệt tuần tự, theo dõi thực hiện thủ công và nghiệm thu yêu cầu nội bộ cho một doanh nghiệp. Ba loại đề xuất là LEAVE, ACCESS và EQUIPMENT tương ứng A, B, C. Dữ liệu mẫu phục vụ test được tách khỏi chính sách dùng thật; bỏ hậu tố DEMO không tự biến quy tắc mẫu thành chính sách được phê duyệt.</w:t>
      </w:r>
    </w:p>
    <w:tbl>
      <w:tblPr>
        <w:tblW w:type="auto" w:w="0"/>
        <w:tblLayout w:type="fixed"/>
        <w:tblLook w:firstColumn="1" w:firstRow="1" w:lastColumn="0" w:lastRow="0" w:noHBand="0" w:noVBand="1" w:val="04A0"/>
      </w:tblPr>
      <w:tblGrid>
        <w:gridCol w:w="1800"/>
        <w:gridCol w:w="4176"/>
        <w:gridCol w:w="4392"/>
      </w:tblGrid>
      <w:tr>
        <w:trPr>
          <w:cantSplit/>
          <w:tblHeader/>
        </w:trPr>
        <w:tc>
          <w:tcPr>
            <w:tcW w:type="dxa" w:w="1800"/>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Loại</w:t>
            </w:r>
          </w:p>
        </w:tc>
        <w:tc>
          <w:tcPr>
            <w:tcW w:type="dxa" w:w="4176"/>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Kết quả trong EAS</w:t>
            </w:r>
          </w:p>
        </w:tc>
        <w:tc>
          <w:tcPr>
            <w:tcW w:type="dxa" w:w="4392"/>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Việc ngoài EAS</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LEAVE mẫu A</w:t>
            </w:r>
          </w:p>
        </w:tc>
        <w:tc>
          <w:tcPr>
            <w:tcW w:type="dxa" w:w="417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Người có thẩm quyền duyệt/từ chối khoảng nghỉ và bàn giao.</w:t>
            </w:r>
          </w:p>
        </w:tc>
        <w:tc>
          <w:tcPr>
            <w:tcW w:type="dxa" w:w="439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HR đối chiếu quỹ phép và cập nhật chấm công thủ công; EAS không tính lương/quyền nghỉ.</w:t>
            </w:r>
          </w:p>
        </w:tc>
      </w:tr>
      <w:tr>
        <w:trPr>
          <w:cantSplit/>
        </w:trPr>
        <w:tc>
          <w:tcPr>
            <w:tcW w:type="dxa" w:w="180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ACCESS mẫu B</w:t>
            </w:r>
          </w:p>
        </w:tc>
        <w:tc>
          <w:tcPr>
            <w:tcW w:type="dxa" w:w="417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IT nhận việc, cấp quyền theo quyết định, lưu ticket/biên bản kết quả.</w:t>
            </w:r>
          </w:p>
        </w:tc>
        <w:tc>
          <w:tcPr>
            <w:tcW w:type="dxa" w:w="439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IT cấp/thu hồi ở hệ thống đích; không API tự động, không tài khoản đặc quyền hoặc truy cập production trong P0.</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EQUIPMENT mẫu C</w:t>
            </w:r>
          </w:p>
        </w:tc>
        <w:tc>
          <w:tcPr>
            <w:tcW w:type="dxa" w:w="417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Duyệt nhu cầu/giá trị, thực hiện bàn giao và nghiệm thu.</w:t>
            </w:r>
          </w:p>
        </w:tc>
        <w:tc>
          <w:tcPr>
            <w:tcW w:type="dxa" w:w="439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Kho/mua sắm, thanh toán, khấu hao và kế toán vẫn ở quy trình hiện hành.</w:t>
            </w:r>
          </w:p>
        </w:tc>
      </w:tr>
    </w:tbl>
    <w:p>
      <w:pPr>
        <w:spacing w:after="0"/>
      </w:pPr>
    </w:p>
    <w:p>
      <w:pPr>
        <w:pStyle w:val="Heading1"/>
      </w:pPr>
      <w:r>
        <w:t>2 Danh mục bộ hồ sơ</w:t>
      </w:r>
    </w:p>
    <w:tbl>
      <w:tblPr>
        <w:tblW w:type="auto" w:w="0"/>
        <w:tblLayout w:type="fixed"/>
        <w:tblLook w:firstColumn="1" w:firstRow="1" w:lastColumn="0" w:lastRow="0" w:noHBand="0" w:noVBand="1" w:val="04A0"/>
      </w:tblPr>
      <w:tblGrid>
        <w:gridCol w:w="720"/>
        <w:gridCol w:w="5040"/>
        <w:gridCol w:w="4608"/>
      </w:tblGrid>
      <w:tr>
        <w:trPr>
          <w:cantSplit/>
          <w:tblHeader/>
        </w:trPr>
        <w:tc>
          <w:tcPr>
            <w:tcW w:type="dxa" w:w="720"/>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Mã</w:t>
            </w:r>
          </w:p>
        </w:tc>
        <w:tc>
          <w:tcPr>
            <w:tcW w:type="dxa" w:w="5040"/>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Tài liệu</w:t>
            </w:r>
          </w:p>
        </w:tc>
        <w:tc>
          <w:tcPr>
            <w:tcW w:type="dxa" w:w="4608"/>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Người sử dụng chính</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00</w:t>
            </w:r>
          </w:p>
        </w:tc>
        <w:tc>
          <w:tcPr>
            <w:tcW w:type="dxa" w:w="50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Phạm vi kế hoạch và quyết định</w:t>
            </w:r>
          </w:p>
        </w:tc>
        <w:tc>
          <w:tcPr>
            <w:tcW w:type="dxa" w:w="460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PO, sponsor, PM</w:t>
            </w:r>
          </w:p>
        </w:tc>
      </w:tr>
      <w:tr>
        <w:trPr>
          <w:cantSplit/>
        </w:trPr>
        <w:tc>
          <w:tcPr>
            <w:tcW w:type="dxa" w:w="72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01</w:t>
            </w:r>
          </w:p>
        </w:tc>
        <w:tc>
          <w:tcPr>
            <w:tcW w:type="dxa" w:w="50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SRS và use case</w:t>
            </w:r>
          </w:p>
        </w:tc>
        <w:tc>
          <w:tcPr>
            <w:tcW w:type="dxa" w:w="460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BA, người dùng, developer, QA</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02</w:t>
            </w:r>
          </w:p>
        </w:tc>
        <w:tc>
          <w:tcPr>
            <w:tcW w:type="dxa" w:w="50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Luồng và thiết kế hệ thống</w:t>
            </w:r>
          </w:p>
        </w:tc>
        <w:tc>
          <w:tcPr>
            <w:tcW w:type="dxa" w:w="460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Tech lead, developer</w:t>
            </w:r>
          </w:p>
        </w:tc>
      </w:tr>
      <w:tr>
        <w:trPr>
          <w:cantSplit/>
        </w:trPr>
        <w:tc>
          <w:tcPr>
            <w:tcW w:type="dxa" w:w="72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03</w:t>
            </w:r>
          </w:p>
        </w:tc>
        <w:tc>
          <w:tcPr>
            <w:tcW w:type="dxa" w:w="50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Dữ liệu và hợp đồng API</w:t>
            </w:r>
          </w:p>
        </w:tc>
        <w:tc>
          <w:tcPr>
            <w:tcW w:type="dxa" w:w="460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Backend, frontend, DBA, QA</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04</w:t>
            </w:r>
          </w:p>
        </w:tc>
        <w:tc>
          <w:tcPr>
            <w:tcW w:type="dxa" w:w="50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Kế hoạch và ca kiểm thử</w:t>
            </w:r>
          </w:p>
        </w:tc>
        <w:tc>
          <w:tcPr>
            <w:tcW w:type="dxa" w:w="460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QA, UAT, security</w:t>
            </w:r>
          </w:p>
        </w:tc>
      </w:tr>
      <w:tr>
        <w:trPr>
          <w:cantSplit/>
        </w:trPr>
        <w:tc>
          <w:tcPr>
            <w:tcW w:type="dxa" w:w="72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05</w:t>
            </w:r>
          </w:p>
        </w:tc>
        <w:tc>
          <w:tcPr>
            <w:tcW w:type="dxa" w:w="50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Vận hành pháp lý và nghiệm thu</w:t>
            </w:r>
          </w:p>
        </w:tc>
        <w:tc>
          <w:tcPr>
            <w:tcW w:type="dxa" w:w="460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DevOps, pháp chế, PM, khách hàng</w:t>
            </w:r>
          </w:p>
        </w:tc>
      </w:tr>
    </w:tbl>
    <w:p>
      <w:pPr>
        <w:spacing w:after="0"/>
      </w:pPr>
    </w:p>
    <w:p>
      <w:r>
        <w:t>Mã FR/BR/UC được giữ theo chủ đề của bản trước và nội dung 2.0 là hiệu lực đề xuất. Các quyết định bản cũ dùng tiền tố V1-Dxx; quyết định trong phụ lục nguồn dùng SRC-Dxx; KDxx là quyết định cần chốt của bản này. Không dùng D05 trần trong trao đổi.</w:t>
      </w:r>
    </w:p>
    <w:p>
      <w:pPr>
        <w:pStyle w:val="Heading1"/>
        <w:pageBreakBefore/>
      </w:pPr>
      <w:r>
        <w:t>3 Đối chiếu yêu cầu nguồn với phạm vi</w:t>
      </w:r>
    </w:p>
    <w:p>
      <w:r>
        <w:t>Bảng dưới là danh sách disposition để ký tại KD01. Việc ghi hoãn hoặc loại là đề xuất thương mại cần khách hàng chấp thuận; không phải quyền tự ý bỏ yêu cầu đã ký. Nhóm tính năng bao trùm các nhánh ý tưởng rộng trong plan và phụ lục mới nhất.</w:t>
      </w:r>
    </w:p>
    <w:tbl>
      <w:tblPr>
        <w:tblW w:type="auto" w:w="0"/>
        <w:tblLayout w:type="fixed"/>
        <w:tblLook w:firstColumn="1" w:firstRow="1" w:lastColumn="0" w:lastRow="0" w:noHBand="0" w:noVBand="1" w:val="04A0"/>
      </w:tblPr>
      <w:tblGrid>
        <w:gridCol w:w="864"/>
        <w:gridCol w:w="2736"/>
        <w:gridCol w:w="1800"/>
        <w:gridCol w:w="4968"/>
      </w:tblGrid>
      <w:tr>
        <w:trPr>
          <w:cantSplit/>
          <w:tblHeader/>
        </w:trPr>
        <w:tc>
          <w:tcPr>
            <w:tcW w:type="dxa" w:w="864"/>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Mã</w:t>
            </w:r>
          </w:p>
        </w:tc>
        <w:tc>
          <w:tcPr>
            <w:tcW w:type="dxa" w:w="2736"/>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Nhóm nguồn</w:t>
            </w:r>
          </w:p>
        </w:tc>
        <w:tc>
          <w:tcPr>
            <w:tcW w:type="dxa" w:w="1800"/>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Xử lý</w:t>
            </w:r>
          </w:p>
        </w:tc>
        <w:tc>
          <w:tcPr>
            <w:tcW w:type="dxa" w:w="4968"/>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Đích và giới hạn</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SRC01</w:t>
            </w:r>
          </w:p>
        </w:tc>
        <w:tc>
          <w:tcPr>
            <w:tcW w:type="dxa" w:w="273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Ba vòng đời và bốn vai trò</w:t>
            </w:r>
          </w:p>
        </w:tc>
        <w:tc>
          <w:tcPr>
            <w:tcW w:type="dxa" w:w="18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Giữ P0</w:t>
            </w:r>
          </w:p>
        </w:tc>
        <w:tc>
          <w:tcPr>
            <w:tcW w:type="dxa" w:w="496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FR06–FR13 A duyệt; B duyệt và thực hiện; C thêm nghiệm thu.</w:t>
            </w:r>
          </w:p>
        </w:tc>
      </w:tr>
      <w:tr>
        <w:trPr>
          <w:cantSplit/>
        </w:trPr>
        <w:tc>
          <w:tcPr>
            <w:tcW w:type="dxa" w:w="86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SRC02</w:t>
            </w:r>
          </w:p>
        </w:tc>
        <w:tc>
          <w:tcPr>
            <w:tcW w:type="dxa" w:w="273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Duyệt nhiều cấp</w:t>
            </w:r>
          </w:p>
        </w:tc>
        <w:tc>
          <w:tcPr>
            <w:tcW w:type="dxa" w:w="180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Giữ P0</w:t>
            </w:r>
          </w:p>
        </w:tc>
        <w:tc>
          <w:tcPr>
            <w:tcW w:type="dxa" w:w="496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FR07 Engine 1–3 cấp tuần tự; không tự duyệt hoặc trùng người giữa các cấp.</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SRC03</w:t>
            </w:r>
          </w:p>
        </w:tc>
        <w:tc>
          <w:tcPr>
            <w:tcW w:type="dxa" w:w="273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Các loại đơn HR tài chính IT hành chính</w:t>
            </w:r>
          </w:p>
        </w:tc>
        <w:tc>
          <w:tcPr>
            <w:tcW w:type="dxa" w:w="18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Thu hẹp có điều kiện</w:t>
            </w:r>
          </w:p>
        </w:tc>
        <w:tc>
          <w:tcPr>
            <w:tcW w:type="dxa" w:w="496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KD01 Ba loại LEAVE, ACCESS, EQUIPMENT; các loại còn lại chưa thuộc giá/lịch P0.</w:t>
            </w:r>
          </w:p>
        </w:tc>
      </w:tr>
      <w:tr>
        <w:trPr>
          <w:cantSplit/>
        </w:trPr>
        <w:tc>
          <w:tcPr>
            <w:tcW w:type="dxa" w:w="86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SRC04</w:t>
            </w:r>
          </w:p>
        </w:tc>
        <w:tc>
          <w:tcPr>
            <w:tcW w:type="dxa" w:w="273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Web và bốn tab theo vai trò</w:t>
            </w:r>
          </w:p>
        </w:tc>
        <w:tc>
          <w:tcPr>
            <w:tcW w:type="dxa" w:w="180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Giữ P0</w:t>
            </w:r>
          </w:p>
        </w:tc>
        <w:tc>
          <w:tcPr>
            <w:tcW w:type="dxa" w:w="496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FR16 Có màn hình cấu hình tối thiểu, danh sách, lịch sử và dashboard.</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SRC05</w:t>
            </w:r>
          </w:p>
        </w:tc>
        <w:tc>
          <w:tcPr>
            <w:tcW w:type="dxa" w:w="273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Android Flutter và push</w:t>
            </w:r>
          </w:p>
        </w:tc>
        <w:tc>
          <w:tcPr>
            <w:tcW w:type="dxa" w:w="18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Hoãn P1</w:t>
            </w:r>
          </w:p>
        </w:tc>
        <w:tc>
          <w:tcPr>
            <w:tcW w:type="dxa" w:w="496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FR20 Không nằm trên đường găng hoặc tiêu chí nghiệm thu P0.</w:t>
            </w:r>
          </w:p>
        </w:tc>
      </w:tr>
      <w:tr>
        <w:trPr>
          <w:cantSplit/>
        </w:trPr>
        <w:tc>
          <w:tcPr>
            <w:tcW w:type="dxa" w:w="86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SRC06</w:t>
            </w:r>
          </w:p>
        </w:tc>
        <w:tc>
          <w:tcPr>
            <w:tcW w:type="dxa" w:w="273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AI tóm tắt</w:t>
            </w:r>
          </w:p>
        </w:tc>
        <w:tc>
          <w:tcPr>
            <w:tcW w:type="dxa" w:w="180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Hoãn P1</w:t>
            </w:r>
          </w:p>
        </w:tc>
        <w:tc>
          <w:tcPr>
            <w:tcW w:type="dxa" w:w="496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FR21 Thiết kế tích hợp chỉ thực hiện khi có change request.</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SRC07</w:t>
            </w:r>
          </w:p>
        </w:tc>
        <w:tc>
          <w:tcPr>
            <w:tcW w:type="dxa" w:w="273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AI tự duyệt OCR phân loại risk scoring</w:t>
            </w:r>
          </w:p>
        </w:tc>
        <w:tc>
          <w:tcPr>
            <w:tcW w:type="dxa" w:w="18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Loại P0</w:t>
            </w:r>
          </w:p>
        </w:tc>
        <w:tc>
          <w:tcPr>
            <w:tcW w:type="dxa" w:w="496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KD01 Không dùng AI để quyết định; không cam kết xác thực hóa đơn.</w:t>
            </w:r>
          </w:p>
        </w:tc>
      </w:tr>
      <w:tr>
        <w:trPr>
          <w:cantSplit/>
        </w:trPr>
        <w:tc>
          <w:tcPr>
            <w:tcW w:type="dxa" w:w="86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SRC08</w:t>
            </w:r>
          </w:p>
        </w:tc>
        <w:tc>
          <w:tcPr>
            <w:tcW w:type="dxa" w:w="273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Builder kéo thả workflow tổng quát</w:t>
            </w:r>
          </w:p>
        </w:tc>
        <w:tc>
          <w:tcPr>
            <w:tcW w:type="dxa" w:w="180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Thay bằng cấu hình hữu hạn</w:t>
            </w:r>
          </w:p>
        </w:tc>
        <w:tc>
          <w:tcPr>
            <w:tcW w:type="dxa" w:w="496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FR03 Ba lifecycle; form cố định theo loại; tuyến do luật JSON được kiểm tra.</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SRC09</w:t>
            </w:r>
          </w:p>
        </w:tc>
        <w:tc>
          <w:tcPr>
            <w:tcW w:type="dxa" w:w="273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Song song ANY MAJORITY và tự chuyển cấp</w:t>
            </w:r>
          </w:p>
        </w:tc>
        <w:tc>
          <w:tcPr>
            <w:tcW w:type="dxa" w:w="18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Loại P0</w:t>
            </w:r>
          </w:p>
        </w:tc>
        <w:tc>
          <w:tcPr>
            <w:tcW w:type="dxa" w:w="496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BR10 SLA chỉ nhắc/báo quá hạn; OPS gán thay có kiểm soát.</w:t>
            </w:r>
          </w:p>
        </w:tc>
      </w:tr>
      <w:tr>
        <w:trPr>
          <w:cantSplit/>
        </w:trPr>
        <w:tc>
          <w:tcPr>
            <w:tcW w:type="dxa" w:w="86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SRC10</w:t>
            </w:r>
          </w:p>
        </w:tc>
        <w:tc>
          <w:tcPr>
            <w:tcW w:type="dxa" w:w="273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Ủy quyền pool phân tải tự động</w:t>
            </w:r>
          </w:p>
        </w:tc>
        <w:tc>
          <w:tcPr>
            <w:tcW w:type="dxa" w:w="180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Thay bằng gán cá nhân</w:t>
            </w:r>
          </w:p>
        </w:tc>
        <w:tc>
          <w:tcPr>
            <w:tcW w:type="dxa" w:w="496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FR11 Không hàng đợi tự claim; chỉ người được gán nhận việc.</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SRC11</w:t>
            </w:r>
          </w:p>
        </w:tc>
        <w:tc>
          <w:tcPr>
            <w:tcW w:type="dxa" w:w="273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Giao việc từ trên xuống và phụ thuộc dự án</w:t>
            </w:r>
          </w:p>
        </w:tc>
        <w:tc>
          <w:tcPr>
            <w:tcW w:type="dxa" w:w="18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Loại P0</w:t>
            </w:r>
          </w:p>
        </w:tc>
        <w:tc>
          <w:tcPr>
            <w:tcW w:type="dxa" w:w="496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KD01 Không ASSIGNED, BLOCKED_BY_DEPENDENCY hoặc critical path nghiệp vụ.</w:t>
            </w:r>
          </w:p>
        </w:tc>
      </w:tr>
      <w:tr>
        <w:trPr>
          <w:cantSplit/>
        </w:trPr>
        <w:tc>
          <w:tcPr>
            <w:tcW w:type="dxa" w:w="86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SRC12</w:t>
            </w:r>
          </w:p>
        </w:tc>
        <w:tc>
          <w:tcPr>
            <w:tcW w:type="dxa" w:w="273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ERP HRM thanh toán cấp quyền tự động</w:t>
            </w:r>
          </w:p>
        </w:tc>
        <w:tc>
          <w:tcPr>
            <w:tcW w:type="dxa" w:w="180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Ngoài hệ thống</w:t>
            </w:r>
          </w:p>
        </w:tc>
        <w:tc>
          <w:tcPr>
            <w:tcW w:type="dxa" w:w="496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KD02 Người có thẩm quyền thực hiện thủ công; EAS lưu kết quả và bằng chứng.</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SRC13</w:t>
            </w:r>
          </w:p>
        </w:tc>
        <w:tc>
          <w:tcPr>
            <w:tcW w:type="dxa" w:w="273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Email Slack SMS và duyệt hàng loạt</w:t>
            </w:r>
          </w:p>
        </w:tc>
        <w:tc>
          <w:tcPr>
            <w:tcW w:type="dxa" w:w="18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Hoãn ngoài P0</w:t>
            </w:r>
          </w:p>
        </w:tc>
        <w:tc>
          <w:tcPr>
            <w:tcW w:type="dxa" w:w="496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FR14 Chỉ thông báo trong ứng dụng; mỗi lệnh quyết định một hồ sơ.</w:t>
            </w:r>
          </w:p>
        </w:tc>
      </w:tr>
      <w:tr>
        <w:trPr>
          <w:cantSplit/>
        </w:trPr>
        <w:tc>
          <w:tcPr>
            <w:tcW w:type="dxa" w:w="86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SRC14</w:t>
            </w:r>
          </w:p>
        </w:tc>
        <w:tc>
          <w:tcPr>
            <w:tcW w:type="dxa" w:w="273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Tệp audit snapshot concurrency</w:t>
            </w:r>
          </w:p>
        </w:tc>
        <w:tc>
          <w:tcPr>
            <w:tcW w:type="dxa" w:w="180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Giữ P0</w:t>
            </w:r>
          </w:p>
        </w:tc>
        <w:tc>
          <w:tcPr>
            <w:tcW w:type="dxa" w:w="496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FR05–09,17–18 Bổ sung audit quản trị, khóa quyền và bảo vệ liên kết chéo.</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SRC15</w:t>
            </w:r>
          </w:p>
        </w:tc>
        <w:tc>
          <w:tcPr>
            <w:tcW w:type="dxa" w:w="273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SLA báo cáo vận hành</w:t>
            </w:r>
          </w:p>
        </w:tc>
        <w:tc>
          <w:tcPr>
            <w:tcW w:type="dxa" w:w="18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Giữ P0</w:t>
            </w:r>
          </w:p>
        </w:tc>
        <w:tc>
          <w:tcPr>
            <w:tcW w:type="dxa" w:w="496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FR15–16,19 Giờ lịch, biểu đồ đơn giản, kiểm soát truy cập và khôi phục.</w:t>
            </w:r>
          </w:p>
        </w:tc>
      </w:tr>
      <w:tr>
        <w:trPr>
          <w:cantSplit/>
        </w:trPr>
        <w:tc>
          <w:tcPr>
            <w:tcW w:type="dxa" w:w="86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SRC16</w:t>
            </w:r>
          </w:p>
        </w:tc>
        <w:tc>
          <w:tcPr>
            <w:tcW w:type="dxa" w:w="273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Chữ ký số sinh trắc OTP và chứng từ pháp lý</w:t>
            </w:r>
          </w:p>
        </w:tc>
        <w:tc>
          <w:tcPr>
            <w:tcW w:type="dxa" w:w="180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Loại P0</w:t>
            </w:r>
          </w:p>
        </w:tc>
        <w:tc>
          <w:tcPr>
            <w:tcW w:type="dxa" w:w="496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KD01 Audit kỹ thuật không thay chữ ký số hoặc thẩm quyền ký.</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SRC17</w:t>
            </w:r>
          </w:p>
        </w:tc>
        <w:tc>
          <w:tcPr>
            <w:tcW w:type="dxa" w:w="273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Multi tenant iOS offline đa ngôn ngữ</w:t>
            </w:r>
          </w:p>
        </w:tc>
        <w:tc>
          <w:tcPr>
            <w:tcW w:type="dxa" w:w="18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Loại P0</w:t>
            </w:r>
          </w:p>
        </w:tc>
        <w:tc>
          <w:tcPr>
            <w:tcW w:type="dxa" w:w="496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KD01 Một doanh nghiệp; Web tiếng Việt; cần mạng.</w:t>
            </w:r>
          </w:p>
        </w:tc>
      </w:tr>
      <w:tr>
        <w:trPr>
          <w:cantSplit/>
        </w:trPr>
        <w:tc>
          <w:tcPr>
            <w:tcW w:type="dxa" w:w="86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SRC18</w:t>
            </w:r>
          </w:p>
        </w:tc>
        <w:tc>
          <w:tcPr>
            <w:tcW w:type="dxa" w:w="273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Supabase FastAPI OPA Redis và framework engine</w:t>
            </w:r>
          </w:p>
        </w:tc>
        <w:tc>
          <w:tcPr>
            <w:tcW w:type="dxa" w:w="180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Quyết định kỹ thuật thay thế</w:t>
            </w:r>
          </w:p>
        </w:tc>
        <w:tc>
          <w:tcPr>
            <w:tcW w:type="dxa" w:w="496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ADR01 Django core, PostgreSQL, worker cùng domain code; không đa nguồn quyền.</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SRC19</w:t>
            </w:r>
          </w:p>
        </w:tc>
        <w:tc>
          <w:tcPr>
            <w:tcW w:type="dxa" w:w="273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28 bảng trong phụ lục nguồn</w:t>
            </w:r>
          </w:p>
        </w:tc>
        <w:tc>
          <w:tcPr>
            <w:tcW w:type="dxa" w:w="18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Thiết kế lại có truy vết</w:t>
            </w:r>
          </w:p>
        </w:tc>
        <w:tc>
          <w:tcPr>
            <w:tcW w:type="dxa" w:w="496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DB01–DB30 Gộp version cấu hình vào release; thêm khóa quyền, nháp tệp và privacy case. Không lấy số bảng làm tiêu chí đạt.</w:t>
            </w:r>
          </w:p>
        </w:tc>
      </w:tr>
      <w:tr>
        <w:trPr>
          <w:cantSplit/>
        </w:trPr>
        <w:tc>
          <w:tcPr>
            <w:tcW w:type="dxa" w:w="86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SRC20</w:t>
            </w:r>
          </w:p>
        </w:tc>
        <w:tc>
          <w:tcPr>
            <w:tcW w:type="dxa" w:w="273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Nguồn học thuật và các tài liệu nền được dẫn tên</w:t>
            </w:r>
          </w:p>
        </w:tc>
        <w:tc>
          <w:tcPr>
            <w:tcW w:type="dxa" w:w="180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Chờ xác nhận phạm vi nguồn</w:t>
            </w:r>
          </w:p>
        </w:tc>
        <w:tc>
          <w:tcPr>
            <w:tcW w:type="dxa" w:w="496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KD01 Khách hàng xác nhận bảng này hoặc bổ sung tài liệu nền trước khóa phạm vi.</w:t>
            </w:r>
          </w:p>
        </w:tc>
      </w:tr>
    </w:tbl>
    <w:p>
      <w:pPr>
        <w:spacing w:after="0"/>
      </w:pPr>
    </w:p>
    <w:p>
      <w:pPr>
        <w:pStyle w:val="Heading1"/>
        <w:pageBreakBefore/>
      </w:pPr>
      <w:r>
        <w:t>4 Quyết định cần xác nhận</w:t>
      </w:r>
    </w:p>
    <w:tbl>
      <w:tblPr>
        <w:tblW w:type="auto" w:w="0"/>
        <w:tblLayout w:type="fixed"/>
        <w:tblLook w:firstColumn="1" w:firstRow="1" w:lastColumn="0" w:lastRow="0" w:noHBand="0" w:noVBand="1" w:val="04A0"/>
      </w:tblPr>
      <w:tblGrid>
        <w:gridCol w:w="792"/>
        <w:gridCol w:w="5976"/>
        <w:gridCol w:w="2160"/>
        <w:gridCol w:w="1440"/>
      </w:tblGrid>
      <w:tr>
        <w:trPr>
          <w:cantSplit/>
          <w:tblHeader/>
        </w:trPr>
        <w:tc>
          <w:tcPr>
            <w:tcW w:type="dxa" w:w="792"/>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Mã</w:t>
            </w:r>
          </w:p>
        </w:tc>
        <w:tc>
          <w:tcPr>
            <w:tcW w:type="dxa" w:w="5976"/>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Nội dung đề xuất cần chốt</w:t>
            </w:r>
          </w:p>
        </w:tc>
        <w:tc>
          <w:tcPr>
            <w:tcW w:type="dxa" w:w="2160"/>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Chủ xác nhận</w:t>
            </w:r>
          </w:p>
        </w:tc>
        <w:tc>
          <w:tcPr>
            <w:tcW w:type="dxa" w:w="1440"/>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Hạn</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KD01</w:t>
            </w:r>
          </w:p>
        </w:tc>
        <w:tc>
          <w:tcPr>
            <w:tcW w:type="dxa" w:w="597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Mục tiêu và phạm vi. MVP dùng nội bộ một doanh nghiệp; ba loại và disposition SRC01–20. Nếu chỉ mua POC, phải đổi nhãn và cổng nghiệm thu.</w:t>
            </w:r>
          </w:p>
        </w:tc>
        <w:tc>
          <w:tcPr>
            <w:tcW w:type="dxa" w:w="216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PO khách hàng</w:t>
            </w:r>
          </w:p>
        </w:tc>
        <w:tc>
          <w:tcPr>
            <w:tcW w:type="dxa" w:w="14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D3</w:t>
            </w:r>
          </w:p>
        </w:tc>
      </w:tr>
      <w:tr>
        <w:trPr>
          <w:cantSplit/>
        </w:trPr>
        <w:tc>
          <w:tcPr>
            <w:tcW w:type="dxa" w:w="79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KD02</w:t>
            </w:r>
          </w:p>
        </w:tc>
        <w:tc>
          <w:tcPr>
            <w:tcW w:type="dxa" w:w="597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Quy trình dùng thật. Chủ HR, IT và thiết bị xác nhận kết quả hoàn thành, trách nhiệm thao tác ngoài EAS, danh sách ứng dụng không đặc quyền.</w:t>
            </w:r>
          </w:p>
        </w:tc>
        <w:tc>
          <w:tcPr>
            <w:tcW w:type="dxa" w:w="216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Chủ quy trình</w:t>
            </w:r>
          </w:p>
        </w:tc>
        <w:tc>
          <w:tcPr>
            <w:tcW w:type="dxa" w:w="14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D3</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KD03</w:t>
            </w:r>
          </w:p>
        </w:tc>
        <w:tc>
          <w:tcPr>
            <w:tcW w:type="dxa" w:w="597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Thẩm quyền và hạn mức. LEAVE/ACCESS một quản lý; EQUIPMENT &lt;10tr một cấp, 10–50tr hai cấp, &gt;50tr ba cấp; đúng 50tr là hai cấp.</w:t>
            </w:r>
          </w:p>
        </w:tc>
        <w:tc>
          <w:tcPr>
            <w:tcW w:type="dxa" w:w="216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Chủ chính sách</w:t>
            </w:r>
          </w:p>
        </w:tc>
        <w:tc>
          <w:tcPr>
            <w:tcW w:type="dxa" w:w="14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D3</w:t>
            </w:r>
          </w:p>
        </w:tc>
      </w:tr>
      <w:tr>
        <w:trPr>
          <w:cantSplit/>
        </w:trPr>
        <w:tc>
          <w:tcPr>
            <w:tcW w:type="dxa" w:w="79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KD04</w:t>
            </w:r>
          </w:p>
        </w:tc>
        <w:tc>
          <w:tcPr>
            <w:tcW w:type="dxa" w:w="597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Quyền và nhân sự. Snapshot phòng; người từng tham gia còn active được đọc; C requester có thể nghiệm thu nếu khác executor; danh sách người và người thay.</w:t>
            </w:r>
          </w:p>
        </w:tc>
        <w:tc>
          <w:tcPr>
            <w:tcW w:type="dxa" w:w="216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PO và security</w:t>
            </w:r>
          </w:p>
        </w:tc>
        <w:tc>
          <w:tcPr>
            <w:tcW w:type="dxa" w:w="14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D5</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KD05</w:t>
            </w:r>
          </w:p>
        </w:tc>
        <w:tc>
          <w:tcPr>
            <w:tcW w:type="dxa" w:w="597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SLA và chất lượng. Chấp nhận profile SLA, tải, browser, upload, session ở SRS; điều chỉnh trước phát triển phần phụ thuộc.</w:t>
            </w:r>
          </w:p>
        </w:tc>
        <w:tc>
          <w:tcPr>
            <w:tcW w:type="dxa" w:w="216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PO và IT vận hành</w:t>
            </w:r>
          </w:p>
        </w:tc>
        <w:tc>
          <w:tcPr>
            <w:tcW w:type="dxa" w:w="14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D5</w:t>
            </w:r>
          </w:p>
        </w:tc>
      </w:tr>
      <w:tr>
        <w:trPr>
          <w:cantSplit/>
        </w:trPr>
        <w:tc>
          <w:tcPr>
            <w:tcW w:type="dxa" w:w="79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KD06</w:t>
            </w:r>
          </w:p>
        </w:tc>
        <w:tc>
          <w:tcPr>
            <w:tcW w:type="dxa" w:w="597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Dữ liệu và pháp lý. Danh mục dữ liệu, căn cứ xử lý, nơi lưu, bên xử lý, thời hạn từng nhóm và quy trình quyền chủ thể.</w:t>
            </w:r>
          </w:p>
        </w:tc>
        <w:tc>
          <w:tcPr>
            <w:tcW w:type="dxa" w:w="216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Pháp chế và chủ dữ liệu</w:t>
            </w:r>
          </w:p>
        </w:tc>
        <w:tc>
          <w:tcPr>
            <w:tcW w:type="dxa" w:w="14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Trước nhập dữ liệu thật</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KD07</w:t>
            </w:r>
          </w:p>
        </w:tc>
        <w:tc>
          <w:tcPr>
            <w:tcW w:type="dxa" w:w="597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Nguồn lực hạ tầng và lịch. T0, hạn hai tháng theo lịch, đội và hạ tầng; duyệt WBS với ước lượng của tech lead, QA, vận hành.</w:t>
            </w:r>
          </w:p>
        </w:tc>
        <w:tc>
          <w:tcPr>
            <w:tcW w:type="dxa" w:w="216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Sponsor và PM</w:t>
            </w:r>
          </w:p>
        </w:tc>
        <w:tc>
          <w:tcPr>
            <w:tcW w:type="dxa" w:w="14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D3 và kiểm lại D6</w:t>
            </w:r>
          </w:p>
        </w:tc>
      </w:tr>
      <w:tr>
        <w:trPr>
          <w:cantSplit/>
        </w:trPr>
        <w:tc>
          <w:tcPr>
            <w:tcW w:type="dxa" w:w="79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KD08</w:t>
            </w:r>
          </w:p>
        </w:tc>
        <w:tc>
          <w:tcPr>
            <w:tcW w:type="dxa" w:w="597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Nghiệm thu và hỗ trợ. Người UAT, người go/no-go, cửa sổ cutover, RPO/RTO, thời gian hỗ trợ và escalation sau bàn giao.</w:t>
            </w:r>
          </w:p>
        </w:tc>
        <w:tc>
          <w:tcPr>
            <w:tcW w:type="dxa" w:w="216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Sponsor và vận hành</w:t>
            </w:r>
          </w:p>
        </w:tc>
        <w:tc>
          <w:tcPr>
            <w:tcW w:type="dxa" w:w="14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D10</w:t>
            </w:r>
          </w:p>
        </w:tc>
      </w:tr>
    </w:tbl>
    <w:p>
      <w:pPr>
        <w:spacing w:after="0"/>
      </w:pPr>
    </w:p>
    <w:p>
      <w:r>
        <w:t>D1 là ngày làm việc đầu dự án, chưa phải một ngày lịch đã cam kết. Nếu thiếu quyết định quá hạn, PM ghi ảnh hưởng đến gói phụ thuộc và cập nhật lịch; đội vẫn được hoàn thiện thiết kế kỹ thuật độc lập. Không được tự ghi “khách hàng đã duyệt”.</w:t>
      </w:r>
    </w:p>
    <w:p>
      <w:pPr>
        <w:pStyle w:val="Heading1"/>
      </w:pPr>
      <w:r>
        <w:t>5 Quy trình thay đổi</w:t>
      </w:r>
    </w:p>
    <w:p>
      <w:r>
        <w:t>1. BA ghi CR với yêu cầu nguồn, lý do và kết quả mong đợi; liên kết FR/UC/API/test và dữ liệu bị ảnh hưởng.</w:t>
      </w:r>
    </w:p>
    <w:p>
      <w:r>
        <w:t>2. Tech lead, QA và vận hành ước lượng effort, rủi ro, phụ thuộc và kiểm thử lại; PM đối chiếu capacity và lịch.</w:t>
      </w:r>
    </w:p>
    <w:p>
      <w:r>
        <w:t>3. PO quyết định giữ, hoãn hoặc đổi phạm vi. Tăng scope phải có nguồn lực/thời hạn tương ứng; không cắt test quyền, toàn vẹn hoặc restore để bù.</w:t>
      </w:r>
    </w:p>
    <w:p>
      <w:r>
        <w:t>4. PM phát hành baseline có version, người duyệt và ngày hiệu lực; cập nhật sáu tài liệu, release config và RTM cùng lúc.</w:t>
      </w:r>
    </w:p>
    <w:p>
      <w:pPr>
        <w:pStyle w:val="Heading1"/>
      </w:pPr>
      <w:r>
        <w:t>6 Điều kiện bắt đầu và trách nhiệm</w:t>
      </w:r>
    </w:p>
    <w:p>
      <w:r>
        <w:t>PO có quyền quyết định nghiệp vụ; sponsor quyết định ngân sách và lịch; BA chịu trách nhiệm tính đầy đủ SRS; tech lead sở hữu invariant/API; QA độc lập kiểm bằng chứng; DevOps sở hữu cutover/restore; pháp chế xác nhận nghĩa vụ áp dụng. Nhân sự cụ thể được ghi trong biên bản kickoff và go/no-go của tài liệu 05.</w:t>
      </w:r>
    </w:p>
    <w:p>
      <w:pPr>
        <w:pStyle w:val="Heading1"/>
        <w:pageBreakBefore/>
      </w:pPr>
      <w:r>
        <w:t>7 Ước lượng và năng lực đề xuất</w:t>
      </w:r>
    </w:p>
    <w:p>
      <w:r>
        <w:t>Ước lượng dưới là ROM để đội xác nhận ở D6 sau spike upload và transaction; chưa là báo giá cố định. Đơn vị ngày công 8 giờ. Giả định 3 dev toàn thời gian trong 40 ngày làm việc, 1 QA, BA 0,5, PM 0,5, DevOps 0,25. Giảm 15% cho họp/review/hỗ trợ chung trước phân bổ.</w:t>
      </w:r>
    </w:p>
    <w:tbl>
      <w:tblPr>
        <w:tblW w:type="auto" w:w="0"/>
        <w:tblLayout w:type="fixed"/>
        <w:tblLook w:firstColumn="1" w:firstRow="1" w:lastColumn="0" w:lastRow="0" w:noHBand="0" w:noVBand="1" w:val="04A0"/>
      </w:tblPr>
      <w:tblGrid>
        <w:gridCol w:w="720"/>
        <w:gridCol w:w="3600"/>
        <w:gridCol w:w="936"/>
        <w:gridCol w:w="864"/>
        <w:gridCol w:w="864"/>
        <w:gridCol w:w="3384"/>
      </w:tblGrid>
      <w:tr>
        <w:trPr>
          <w:cantSplit/>
          <w:tblHeader/>
        </w:trPr>
        <w:tc>
          <w:tcPr>
            <w:tcW w:type="dxa" w:w="720"/>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Gói</w:t>
            </w:r>
          </w:p>
        </w:tc>
        <w:tc>
          <w:tcPr>
            <w:tcW w:type="dxa" w:w="3600"/>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Nội dung</w:t>
            </w:r>
          </w:p>
        </w:tc>
        <w:tc>
          <w:tcPr>
            <w:tcW w:type="dxa" w:w="936"/>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Lạc quan</w:t>
            </w:r>
          </w:p>
        </w:tc>
        <w:tc>
          <w:tcPr>
            <w:tcW w:type="dxa" w:w="864"/>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Cơ sở</w:t>
            </w:r>
          </w:p>
        </w:tc>
        <w:tc>
          <w:tcPr>
            <w:tcW w:type="dxa" w:w="864"/>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Cao</w:t>
            </w:r>
          </w:p>
        </w:tc>
        <w:tc>
          <w:tcPr>
            <w:tcW w:type="dxa" w:w="3384"/>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Phụ thuộc và lịch</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W01</w:t>
            </w:r>
          </w:p>
        </w:tc>
        <w:tc>
          <w:tcPr>
            <w:tcW w:type="dxa" w:w="36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Phạm vi chính sách và prototype form</w:t>
            </w:r>
          </w:p>
        </w:tc>
        <w:tc>
          <w:tcPr>
            <w:tcW w:type="dxa" w:w="93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4</w:t>
            </w:r>
          </w:p>
        </w:tc>
        <w:tc>
          <w:tcPr>
            <w:tcW w:type="dxa" w:w="86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6</w:t>
            </w:r>
          </w:p>
        </w:tc>
        <w:tc>
          <w:tcPr>
            <w:tcW w:type="dxa" w:w="86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8</w:t>
            </w:r>
          </w:p>
        </w:tc>
        <w:tc>
          <w:tcPr>
            <w:tcW w:type="dxa" w:w="338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 D1–D6</w:t>
            </w:r>
          </w:p>
        </w:tc>
      </w:tr>
      <w:tr>
        <w:trPr>
          <w:cantSplit/>
        </w:trPr>
        <w:tc>
          <w:tcPr>
            <w:tcW w:type="dxa" w:w="72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W02</w:t>
            </w:r>
          </w:p>
        </w:tc>
        <w:tc>
          <w:tcPr>
            <w:tcW w:type="dxa" w:w="360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Kiến trúc CI môi trường schema</w:t>
            </w:r>
          </w:p>
        </w:tc>
        <w:tc>
          <w:tcPr>
            <w:tcW w:type="dxa" w:w="93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6</w:t>
            </w:r>
          </w:p>
        </w:tc>
        <w:tc>
          <w:tcPr>
            <w:tcW w:type="dxa" w:w="86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8</w:t>
            </w:r>
          </w:p>
        </w:tc>
        <w:tc>
          <w:tcPr>
            <w:tcW w:type="dxa" w:w="86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10</w:t>
            </w:r>
          </w:p>
        </w:tc>
        <w:tc>
          <w:tcPr>
            <w:tcW w:type="dxa" w:w="338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W01 lõi; D4–D10</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W03</w:t>
            </w:r>
          </w:p>
        </w:tc>
        <w:tc>
          <w:tcPr>
            <w:tcW w:type="dxa" w:w="36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Auth org scope audit quản trị</w:t>
            </w:r>
          </w:p>
        </w:tc>
        <w:tc>
          <w:tcPr>
            <w:tcW w:type="dxa" w:w="93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7</w:t>
            </w:r>
          </w:p>
        </w:tc>
        <w:tc>
          <w:tcPr>
            <w:tcW w:type="dxa" w:w="86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9</w:t>
            </w:r>
          </w:p>
        </w:tc>
        <w:tc>
          <w:tcPr>
            <w:tcW w:type="dxa" w:w="86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11</w:t>
            </w:r>
          </w:p>
        </w:tc>
        <w:tc>
          <w:tcPr>
            <w:tcW w:type="dxa" w:w="338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W02; D7–D13</w:t>
            </w:r>
          </w:p>
        </w:tc>
      </w:tr>
      <w:tr>
        <w:trPr>
          <w:cantSplit/>
        </w:trPr>
        <w:tc>
          <w:tcPr>
            <w:tcW w:type="dxa" w:w="72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W04</w:t>
            </w:r>
          </w:p>
        </w:tc>
        <w:tc>
          <w:tcPr>
            <w:tcW w:type="dxa" w:w="360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Nháp tệp scan snapshot</w:t>
            </w:r>
          </w:p>
        </w:tc>
        <w:tc>
          <w:tcPr>
            <w:tcW w:type="dxa" w:w="93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9</w:t>
            </w:r>
          </w:p>
        </w:tc>
        <w:tc>
          <w:tcPr>
            <w:tcW w:type="dxa" w:w="86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11</w:t>
            </w:r>
          </w:p>
        </w:tc>
        <w:tc>
          <w:tcPr>
            <w:tcW w:type="dxa" w:w="86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14</w:t>
            </w:r>
          </w:p>
        </w:tc>
        <w:tc>
          <w:tcPr>
            <w:tcW w:type="dxa" w:w="338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W02–03; D10–D18</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W05</w:t>
            </w:r>
          </w:p>
        </w:tc>
        <w:tc>
          <w:tcPr>
            <w:tcW w:type="dxa" w:w="36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Luật submit và duyệt 1–3 cấp</w:t>
            </w:r>
          </w:p>
        </w:tc>
        <w:tc>
          <w:tcPr>
            <w:tcW w:type="dxa" w:w="93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10</w:t>
            </w:r>
          </w:p>
        </w:tc>
        <w:tc>
          <w:tcPr>
            <w:tcW w:type="dxa" w:w="86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12</w:t>
            </w:r>
          </w:p>
        </w:tc>
        <w:tc>
          <w:tcPr>
            <w:tcW w:type="dxa" w:w="86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15</w:t>
            </w:r>
          </w:p>
        </w:tc>
        <w:tc>
          <w:tcPr>
            <w:tcW w:type="dxa" w:w="338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W03–04; D14–D23</w:t>
            </w:r>
          </w:p>
        </w:tc>
      </w:tr>
      <w:tr>
        <w:trPr>
          <w:cantSplit/>
        </w:trPr>
        <w:tc>
          <w:tcPr>
            <w:tcW w:type="dxa" w:w="72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W06</w:t>
            </w:r>
          </w:p>
        </w:tc>
        <w:tc>
          <w:tcPr>
            <w:tcW w:type="dxa" w:w="360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Bổ sung hủy gán thay concurrency</w:t>
            </w:r>
          </w:p>
        </w:tc>
        <w:tc>
          <w:tcPr>
            <w:tcW w:type="dxa" w:w="93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7</w:t>
            </w:r>
          </w:p>
        </w:tc>
        <w:tc>
          <w:tcPr>
            <w:tcW w:type="dxa" w:w="86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9</w:t>
            </w:r>
          </w:p>
        </w:tc>
        <w:tc>
          <w:tcPr>
            <w:tcW w:type="dxa" w:w="86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12</w:t>
            </w:r>
          </w:p>
        </w:tc>
        <w:tc>
          <w:tcPr>
            <w:tcW w:type="dxa" w:w="338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W05 lõi; D20–D26</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W07</w:t>
            </w:r>
          </w:p>
        </w:tc>
        <w:tc>
          <w:tcPr>
            <w:tcW w:type="dxa" w:w="36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Thực hiện nghiệm thu làm lại</w:t>
            </w:r>
          </w:p>
        </w:tc>
        <w:tc>
          <w:tcPr>
            <w:tcW w:type="dxa" w:w="93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9</w:t>
            </w:r>
          </w:p>
        </w:tc>
        <w:tc>
          <w:tcPr>
            <w:tcW w:type="dxa" w:w="86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11</w:t>
            </w:r>
          </w:p>
        </w:tc>
        <w:tc>
          <w:tcPr>
            <w:tcW w:type="dxa" w:w="86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14</w:t>
            </w:r>
          </w:p>
        </w:tc>
        <w:tc>
          <w:tcPr>
            <w:tcW w:type="dxa" w:w="338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W05 lõi; D21–D28</w:t>
            </w:r>
          </w:p>
        </w:tc>
      </w:tr>
      <w:tr>
        <w:trPr>
          <w:cantSplit/>
        </w:trPr>
        <w:tc>
          <w:tcPr>
            <w:tcW w:type="dxa" w:w="72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W08</w:t>
            </w:r>
          </w:p>
        </w:tc>
        <w:tc>
          <w:tcPr>
            <w:tcW w:type="dxa" w:w="360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SLA outbox tab báo cáo</w:t>
            </w:r>
          </w:p>
        </w:tc>
        <w:tc>
          <w:tcPr>
            <w:tcW w:type="dxa" w:w="93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7</w:t>
            </w:r>
          </w:p>
        </w:tc>
        <w:tc>
          <w:tcPr>
            <w:tcW w:type="dxa" w:w="86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9</w:t>
            </w:r>
          </w:p>
        </w:tc>
        <w:tc>
          <w:tcPr>
            <w:tcW w:type="dxa" w:w="86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12</w:t>
            </w:r>
          </w:p>
        </w:tc>
        <w:tc>
          <w:tcPr>
            <w:tcW w:type="dxa" w:w="338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W05/07 events; D24–D31</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W09</w:t>
            </w:r>
          </w:p>
        </w:tc>
        <w:tc>
          <w:tcPr>
            <w:tcW w:type="dxa" w:w="36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Hardening UAT fix deploy docs</w:t>
            </w:r>
          </w:p>
        </w:tc>
        <w:tc>
          <w:tcPr>
            <w:tcW w:type="dxa" w:w="93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10</w:t>
            </w:r>
          </w:p>
        </w:tc>
        <w:tc>
          <w:tcPr>
            <w:tcW w:type="dxa" w:w="86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13</w:t>
            </w:r>
          </w:p>
        </w:tc>
        <w:tc>
          <w:tcPr>
            <w:tcW w:type="dxa" w:w="86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18</w:t>
            </w:r>
          </w:p>
        </w:tc>
        <w:tc>
          <w:tcPr>
            <w:tcW w:type="dxa" w:w="338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W06–08; D30–D37</w:t>
            </w:r>
          </w:p>
        </w:tc>
      </w:tr>
    </w:tbl>
    <w:p>
      <w:pPr>
        <w:spacing w:after="0"/>
      </w:pPr>
    </w:p>
    <w:p>
      <w:r>
        <w:t>Tổng dev 69 / 88 / 114 ngày công. Capacity hiệu dụng 120 × 85% = 102; cơ sở 88 + dự phòng 14 = 102. Kịch bản cao vượt 12 ngày công hiệu dụng, phải tái lập scope/nguồn lực/lịch. Chưa cộng thêm chức năng P1. Ước lượng cơ sở không chứng minh deadline chắc chắn.</w:t>
      </w:r>
    </w:p>
    <w:tbl>
      <w:tblPr>
        <w:tblW w:type="auto" w:w="0"/>
        <w:tblLayout w:type="fixed"/>
        <w:tblLook w:firstColumn="1" w:firstRow="1" w:lastColumn="0" w:lastRow="0" w:noHBand="0" w:noVBand="1" w:val="04A0"/>
      </w:tblPr>
      <w:tblGrid>
        <w:gridCol w:w="1728"/>
        <w:gridCol w:w="1800"/>
        <w:gridCol w:w="2880"/>
        <w:gridCol w:w="3960"/>
      </w:tblGrid>
      <w:tr>
        <w:trPr>
          <w:cantSplit/>
          <w:tblHeader/>
        </w:trPr>
        <w:tc>
          <w:tcPr>
            <w:tcW w:type="dxa" w:w="1728"/>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Vai trò</w:t>
            </w:r>
          </w:p>
        </w:tc>
        <w:tc>
          <w:tcPr>
            <w:tcW w:type="dxa" w:w="1800"/>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Capacity sau 15%</w:t>
            </w:r>
          </w:p>
        </w:tc>
        <w:tc>
          <w:tcPr>
            <w:tcW w:type="dxa" w:w="2880"/>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Cơ sở và dự phòng</w:t>
            </w:r>
          </w:p>
        </w:tc>
        <w:tc>
          <w:tcPr>
            <w:tcW w:type="dxa" w:w="3960"/>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Điều kiện</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Dev tổng</w:t>
            </w:r>
          </w:p>
        </w:tc>
        <w:tc>
          <w:tcPr>
            <w:tcW w:type="dxa" w:w="18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102</w:t>
            </w:r>
          </w:p>
        </w:tc>
        <w:tc>
          <w:tcPr>
            <w:tcW w:type="dxa" w:w="288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88 + 14</w:t>
            </w:r>
          </w:p>
        </w:tc>
        <w:tc>
          <w:tcPr>
            <w:tcW w:type="dxa" w:w="396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Cân bằng BE/FE/fullstack; không chỉ cộng người</w:t>
            </w:r>
          </w:p>
        </w:tc>
      </w:tr>
      <w:tr>
        <w:trPr>
          <w:cantSplit/>
        </w:trPr>
        <w:tc>
          <w:tcPr>
            <w:tcW w:type="dxa" w:w="172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QA</w:t>
            </w:r>
          </w:p>
        </w:tc>
        <w:tc>
          <w:tcPr>
            <w:tcW w:type="dxa" w:w="180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34</w:t>
            </w:r>
          </w:p>
        </w:tc>
        <w:tc>
          <w:tcPr>
            <w:tcW w:type="dxa" w:w="288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29 + 5</w:t>
            </w:r>
          </w:p>
        </w:tc>
        <w:tc>
          <w:tcPr>
            <w:tcW w:type="dxa" w:w="396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Thiết kế test từ W1, thực thi tăng dần</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BA</w:t>
            </w:r>
          </w:p>
        </w:tc>
        <w:tc>
          <w:tcPr>
            <w:tcW w:type="dxa" w:w="18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17</w:t>
            </w:r>
          </w:p>
        </w:tc>
        <w:tc>
          <w:tcPr>
            <w:tcW w:type="dxa" w:w="288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14 + 3</w:t>
            </w:r>
          </w:p>
        </w:tc>
        <w:tc>
          <w:tcPr>
            <w:tcW w:type="dxa" w:w="396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Có PO phản hồi trong 2 ngày làm việc</w:t>
            </w:r>
          </w:p>
        </w:tc>
      </w:tr>
      <w:tr>
        <w:trPr>
          <w:cantSplit/>
        </w:trPr>
        <w:tc>
          <w:tcPr>
            <w:tcW w:type="dxa" w:w="172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PM</w:t>
            </w:r>
          </w:p>
        </w:tc>
        <w:tc>
          <w:tcPr>
            <w:tcW w:type="dxa" w:w="180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17</w:t>
            </w:r>
          </w:p>
        </w:tc>
        <w:tc>
          <w:tcPr>
            <w:tcW w:type="dxa" w:w="288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14 + 3</w:t>
            </w:r>
          </w:p>
        </w:tc>
        <w:tc>
          <w:tcPr>
            <w:tcW w:type="dxa" w:w="396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Theo dõi scope, rủi ro, UAT, cutover</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DevOps</w:t>
            </w:r>
          </w:p>
        </w:tc>
        <w:tc>
          <w:tcPr>
            <w:tcW w:type="dxa" w:w="18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8,5</w:t>
            </w:r>
          </w:p>
        </w:tc>
        <w:tc>
          <w:tcPr>
            <w:tcW w:type="dxa" w:w="288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7,5 + 1</w:t>
            </w:r>
          </w:p>
        </w:tc>
        <w:tc>
          <w:tcPr>
            <w:tcW w:type="dxa" w:w="396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Hạ tầng có trước D10</w:t>
            </w:r>
          </w:p>
        </w:tc>
      </w:tr>
      <w:tr>
        <w:trPr>
          <w:cantSplit/>
        </w:trPr>
        <w:tc>
          <w:tcPr>
            <w:tcW w:type="dxa" w:w="172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Security pháp chế PO</w:t>
            </w:r>
          </w:p>
        </w:tc>
        <w:tc>
          <w:tcPr>
            <w:tcW w:type="dxa" w:w="180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Ngoài capacity trên</w:t>
            </w:r>
          </w:p>
        </w:tc>
        <w:tc>
          <w:tcPr>
            <w:tcW w:type="dxa" w:w="288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Security 2; pháp chế 2; UAT PO 3 ngày đề xuất</w:t>
            </w:r>
          </w:p>
        </w:tc>
        <w:tc>
          <w:tcPr>
            <w:tcW w:type="dxa" w:w="396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Sponsor xác nhận bổ sung; không gán ngầm cho dev</w:t>
            </w:r>
          </w:p>
        </w:tc>
      </w:tr>
    </w:tbl>
    <w:p>
      <w:pPr>
        <w:spacing w:after="0"/>
      </w:pPr>
    </w:p>
    <w:p>
      <w:pPr>
        <w:pStyle w:val="Heading1"/>
        <w:pageBreakBefore/>
      </w:pPr>
      <w:r>
        <w:t>8 Lịch kiểm soát và cổng chất lượng</w:t>
      </w:r>
    </w:p>
    <w:tbl>
      <w:tblPr>
        <w:tblW w:type="auto" w:w="0"/>
        <w:tblLayout w:type="fixed"/>
        <w:tblLook w:firstColumn="1" w:firstRow="1" w:lastColumn="0" w:lastRow="0" w:noHBand="0" w:noVBand="1" w:val="04A0"/>
      </w:tblPr>
      <w:tblGrid>
        <w:gridCol w:w="864"/>
        <w:gridCol w:w="1296"/>
        <w:gridCol w:w="8208"/>
      </w:tblGrid>
      <w:tr>
        <w:trPr>
          <w:cantSplit/>
          <w:tblHeader/>
        </w:trPr>
        <w:tc>
          <w:tcPr>
            <w:tcW w:type="dxa" w:w="864"/>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Tuần</w:t>
            </w:r>
          </w:p>
        </w:tc>
        <w:tc>
          <w:tcPr>
            <w:tcW w:type="dxa" w:w="1296"/>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Dev cơ sở</w:t>
            </w:r>
          </w:p>
        </w:tc>
        <w:tc>
          <w:tcPr>
            <w:tcW w:type="dxa" w:w="8208"/>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Đầu ra và cổng</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1</w:t>
            </w:r>
          </w:p>
        </w:tc>
        <w:tc>
          <w:tcPr>
            <w:tcW w:type="dxa" w:w="129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8</w:t>
            </w:r>
          </w:p>
        </w:tc>
        <w:tc>
          <w:tcPr>
            <w:tcW w:type="dxa" w:w="820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KD01–04, prototype, spike; G1 scope có người duyệt</w:t>
            </w:r>
          </w:p>
        </w:tc>
      </w:tr>
      <w:tr>
        <w:trPr>
          <w:cantSplit/>
        </w:trPr>
        <w:tc>
          <w:tcPr>
            <w:tcW w:type="dxa" w:w="86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2</w:t>
            </w:r>
          </w:p>
        </w:tc>
        <w:tc>
          <w:tcPr>
            <w:tcW w:type="dxa" w:w="129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11</w:t>
            </w:r>
          </w:p>
        </w:tc>
        <w:tc>
          <w:tcPr>
            <w:tcW w:type="dxa" w:w="820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Schema/API/auth và test fixtures; G2 thiết kế phần lõi</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3</w:t>
            </w:r>
          </w:p>
        </w:tc>
        <w:tc>
          <w:tcPr>
            <w:tcW w:type="dxa" w:w="129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12</w:t>
            </w:r>
          </w:p>
        </w:tc>
        <w:tc>
          <w:tcPr>
            <w:tcW w:type="dxa" w:w="820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 trọn luồng, tệp, tuyến 1–3 cấp; regression sớm</w:t>
            </w:r>
          </w:p>
        </w:tc>
      </w:tr>
      <w:tr>
        <w:trPr>
          <w:cantSplit/>
        </w:trPr>
        <w:tc>
          <w:tcPr>
            <w:tcW w:type="dxa" w:w="86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4</w:t>
            </w:r>
          </w:p>
        </w:tc>
        <w:tc>
          <w:tcPr>
            <w:tcW w:type="dxa" w:w="129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12</w:t>
            </w:r>
          </w:p>
        </w:tc>
        <w:tc>
          <w:tcPr>
            <w:tcW w:type="dxa" w:w="820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B/C, bổ sung, gán thay; API và DB ổn định</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5</w:t>
            </w:r>
          </w:p>
        </w:tc>
        <w:tc>
          <w:tcPr>
            <w:tcW w:type="dxa" w:w="129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12</w:t>
            </w:r>
          </w:p>
        </w:tc>
        <w:tc>
          <w:tcPr>
            <w:tcW w:type="dxa" w:w="820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Nghiệm thu, SLA/outbox, dashboard; đóng tính năng P0</w:t>
            </w:r>
          </w:p>
        </w:tc>
      </w:tr>
      <w:tr>
        <w:trPr>
          <w:cantSplit/>
        </w:trPr>
        <w:tc>
          <w:tcPr>
            <w:tcW w:type="dxa" w:w="86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6</w:t>
            </w:r>
          </w:p>
        </w:tc>
        <w:tc>
          <w:tcPr>
            <w:tcW w:type="dxa" w:w="129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12</w:t>
            </w:r>
          </w:p>
        </w:tc>
        <w:tc>
          <w:tcPr>
            <w:tcW w:type="dxa" w:w="820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SIT/security/load/restore; release candidate</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7</w:t>
            </w:r>
          </w:p>
        </w:tc>
        <w:tc>
          <w:tcPr>
            <w:tcW w:type="dxa" w:w="129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12</w:t>
            </w:r>
          </w:p>
        </w:tc>
        <w:tc>
          <w:tcPr>
            <w:tcW w:type="dxa" w:w="820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UAT 3 ngày làm việc; sửa và regression, dự phòng lịch</w:t>
            </w:r>
          </w:p>
        </w:tc>
      </w:tr>
      <w:tr>
        <w:trPr>
          <w:cantSplit/>
        </w:trPr>
        <w:tc>
          <w:tcPr>
            <w:tcW w:type="dxa" w:w="86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8</w:t>
            </w:r>
          </w:p>
        </w:tc>
        <w:tc>
          <w:tcPr>
            <w:tcW w:type="dxa" w:w="129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9</w:t>
            </w:r>
          </w:p>
        </w:tc>
        <w:tc>
          <w:tcPr>
            <w:tcW w:type="dxa" w:w="820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Cutover dự kiến D37; theo dõi D38–D40 và bàn giao</w:t>
            </w:r>
          </w:p>
        </w:tc>
      </w:tr>
    </w:tbl>
    <w:p>
      <w:pPr>
        <w:spacing w:after="0"/>
      </w:pPr>
    </w:p>
    <w:p>
      <w:r>
        <w:t>Chuỗi găng đề xuất: chốt chính sách 3 ngày → thiết kế 3 → auth/data 4 → submit/approval 5 → B/C 4 → tích hợp 4 → hardening 4 → UAT 3 → sửa và regression 3 → cutover 1 = 34 ngày. D35–D36 dự phòng lịch, D37 là cửa sổ cutover dự kiến, D38–D40 hypercare. Các gói giao nhau phải được tech lead gán người cụ thể; tổng effort không thay bài toán cân bằng tài nguyên. Nếu chuỗi găng sau phân bổ vượt D37 thì chưa duyệt lịch.</w:t>
      </w:r>
    </w:p>
    <w:p>
      <w:r>
        <w:t>Các cửa sổ WBS là kế hoạch rolling wave; sau D6 PM phải ghi ngày lịch, ngày nghỉ, predecessor, người chịu trách nhiệm và slack thực tế. Mốc hai tháng được tính từ T0 theo hợp đồng, không tự thay bằng 56 ngày hoặc 40 ngày công.</w:t>
      </w:r>
    </w:p>
    <w:tbl>
      <w:tblPr>
        <w:tblW w:type="auto" w:w="0"/>
        <w:tblLayout w:type="fixed"/>
        <w:tblLook w:firstColumn="1" w:firstRow="1" w:lastColumn="0" w:lastRow="0" w:noHBand="0" w:noVBand="1" w:val="04A0"/>
      </w:tblPr>
      <w:tblGrid>
        <w:gridCol w:w="1584"/>
        <w:gridCol w:w="6840"/>
        <w:gridCol w:w="1944"/>
      </w:tblGrid>
      <w:tr>
        <w:trPr>
          <w:cantSplit/>
          <w:tblHeader/>
        </w:trPr>
        <w:tc>
          <w:tcPr>
            <w:tcW w:type="dxa" w:w="1584"/>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Cổng</w:t>
            </w:r>
          </w:p>
        </w:tc>
        <w:tc>
          <w:tcPr>
            <w:tcW w:type="dxa" w:w="6840"/>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Điều kiện đóng</w:t>
            </w:r>
          </w:p>
        </w:tc>
        <w:tc>
          <w:tcPr>
            <w:tcW w:type="dxa" w:w="1944"/>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Thẩm quyền</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G1 phạm vi</w:t>
            </w:r>
          </w:p>
        </w:tc>
        <w:tc>
          <w:tcPr>
            <w:tcW w:type="dxa" w:w="68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KD01–04/07 và SRC được ký; WBS được đội xác nhận</w:t>
            </w:r>
          </w:p>
        </w:tc>
        <w:tc>
          <w:tcPr>
            <w:tcW w:type="dxa" w:w="194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PO, PM, sponsor</w:t>
            </w:r>
          </w:p>
        </w:tc>
      </w:tr>
      <w:tr>
        <w:trPr>
          <w:cantSplit/>
        </w:trPr>
        <w:tc>
          <w:tcPr>
            <w:tcW w:type="dxa" w:w="158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G2 đặc tả</w:t>
            </w:r>
          </w:p>
        </w:tc>
        <w:tc>
          <w:tcPr>
            <w:tcW w:type="dxa" w:w="68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FR/BR/API/schema/sơ đồ/test cùng version; technical review không còn blocker</w:t>
            </w:r>
          </w:p>
        </w:tc>
        <w:tc>
          <w:tcPr>
            <w:tcW w:type="dxa" w:w="194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BA, tech lead, QA</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G3 trước UAT</w:t>
            </w:r>
          </w:p>
        </w:tc>
        <w:tc>
          <w:tcPr>
            <w:tcW w:type="dxa" w:w="68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TC001–087 và TC093–098 PASS; không S0/S1; NFR đạt profile đã ký</w:t>
            </w:r>
          </w:p>
        </w:tc>
        <w:tc>
          <w:tcPr>
            <w:tcW w:type="dxa" w:w="194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QA đề nghị, PM quyết định vào UAT</w:t>
            </w:r>
          </w:p>
        </w:tc>
      </w:tr>
      <w:tr>
        <w:trPr>
          <w:cantSplit/>
        </w:trPr>
        <w:tc>
          <w:tcPr>
            <w:tcW w:type="dxa" w:w="158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G4 trước cutover</w:t>
            </w:r>
          </w:p>
        </w:tc>
        <w:tc>
          <w:tcPr>
            <w:tcW w:type="dxa" w:w="68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UAT ký; rehearsal/restore đạt; KD06/08 đóng; release/config/backup xác định</w:t>
            </w:r>
          </w:p>
        </w:tc>
        <w:tc>
          <w:tcPr>
            <w:tcW w:type="dxa" w:w="194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PO và release owner</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G5 sau deploy</w:t>
            </w:r>
          </w:p>
        </w:tc>
        <w:tc>
          <w:tcPr>
            <w:tcW w:type="dxa" w:w="68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Smoke production riêng PASS, số đo/đối soát ổn định, đầu mối trực xác nhận</w:t>
            </w:r>
          </w:p>
        </w:tc>
        <w:tc>
          <w:tcPr>
            <w:tcW w:type="dxa" w:w="194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Release owner và vận hành</w:t>
            </w:r>
          </w:p>
        </w:tc>
      </w:tr>
    </w:tbl>
    <w:p>
      <w:pPr>
        <w:spacing w:after="0"/>
      </w:pPr>
    </w:p>
    <w:p>
      <w:pPr>
        <w:pStyle w:val="Heading1"/>
      </w:pPr>
      <w:r>
        <w:t>9 Theo dõi rủi ro và trạng thái sửa review</w:t>
      </w:r>
    </w:p>
    <w:p>
      <w:r>
        <w:t>PM01–03 còn phụ thuộc xác nhận khách hàng và nguồn lực. PM04–17/20 đã có phương án sửa trong SRS/SDD/API/test 2.0, cần reviewer đối chiếu trước khi đóng chính thức. PM18–19 đã bổ sung runbook và ma trận pháp lý; bằng chứng diễn tập, địa chỉ hạ tầng và quyết định dữ liệu vẫn là điều kiện G4. Không đánh dấu 20 phát hiện đã đóng chỉ vì tài liệu mới được xuất.</w:t>
      </w:r>
    </w:p>
    <w:tbl>
      <w:tblPr>
        <w:tblW w:type="auto" w:w="0"/>
        <w:tblLayout w:type="fixed"/>
        <w:tblLook w:firstColumn="1" w:firstRow="1" w:lastColumn="0" w:lastRow="0" w:noHBand="0" w:noVBand="1" w:val="04A0"/>
      </w:tblPr>
      <w:tblGrid>
        <w:gridCol w:w="2088"/>
        <w:gridCol w:w="3240"/>
        <w:gridCol w:w="5040"/>
      </w:tblGrid>
      <w:tr>
        <w:trPr>
          <w:cantSplit/>
          <w:tblHeader/>
        </w:trPr>
        <w:tc>
          <w:tcPr>
            <w:tcW w:type="dxa" w:w="2088"/>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Rủi ro</w:t>
            </w:r>
          </w:p>
        </w:tc>
        <w:tc>
          <w:tcPr>
            <w:tcW w:type="dxa" w:w="3240"/>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Ngưỡng kích hoạt</w:t>
            </w:r>
          </w:p>
        </w:tc>
        <w:tc>
          <w:tcPr>
            <w:tcW w:type="dxa" w:w="5040"/>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Xử lý</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Scope hoặc chính sách đổi</w:t>
            </w:r>
          </w:p>
        </w:tc>
        <w:tc>
          <w:tcPr>
            <w:tcW w:type="dxa" w:w="32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Sau D6 hoặc &gt;2 ngày chờ PO</w:t>
            </w:r>
          </w:p>
        </w:tc>
        <w:tc>
          <w:tcPr>
            <w:tcW w:type="dxa" w:w="50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CR và đánh giá đường găng trước nhận thêm</w:t>
            </w:r>
          </w:p>
        </w:tc>
      </w:tr>
      <w:tr>
        <w:trPr>
          <w:cantSplit/>
        </w:trPr>
        <w:tc>
          <w:tcPr>
            <w:tcW w:type="dxa" w:w="208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Khó concurrency/upload</w:t>
            </w:r>
          </w:p>
        </w:tc>
        <w:tc>
          <w:tcPr>
            <w:tcW w:type="dxa" w:w="32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Spike không đạt D6</w:t>
            </w:r>
          </w:p>
        </w:tc>
        <w:tc>
          <w:tcPr>
            <w:tcW w:type="dxa" w:w="50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Đổi thiết kế/lịch, không bỏ kiểm tra dữ liệu</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Hạ tầng và nhân sự trễ</w:t>
            </w:r>
          </w:p>
        </w:tc>
        <w:tc>
          <w:tcPr>
            <w:tcW w:type="dxa" w:w="32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Staging chưa có D10; thiếu QA</w:t>
            </w:r>
          </w:p>
        </w:tc>
        <w:tc>
          <w:tcPr>
            <w:tcW w:type="dxa" w:w="50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Chặn mốc phụ thuộc, sponsor xử lý</w:t>
            </w:r>
          </w:p>
        </w:tc>
      </w:tr>
      <w:tr>
        <w:trPr>
          <w:cantSplit/>
        </w:trPr>
        <w:tc>
          <w:tcPr>
            <w:tcW w:type="dxa" w:w="208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Bất đồng UAT</w:t>
            </w:r>
          </w:p>
        </w:tc>
        <w:tc>
          <w:tcPr>
            <w:tcW w:type="dxa" w:w="32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Expected khác SRS đã ký</w:t>
            </w:r>
          </w:p>
        </w:tc>
        <w:tc>
          <w:tcPr>
            <w:tcW w:type="dxa" w:w="50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Phân loại defect hay CR; không sửa ngoài trace</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Pháp lý/retention chưa chốt</w:t>
            </w:r>
          </w:p>
        </w:tc>
        <w:tc>
          <w:tcPr>
            <w:tcW w:type="dxa" w:w="32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Đề nghị dùng dữ liệu thật</w:t>
            </w:r>
          </w:p>
        </w:tc>
        <w:tc>
          <w:tcPr>
            <w:tcW w:type="dxa" w:w="50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Giữ dữ liệu giả, hoàn tất KD06 trước nhập</w:t>
            </w:r>
          </w:p>
        </w:tc>
      </w:tr>
    </w:tbl>
    <w:p>
      <w:pPr>
        <w:spacing w:after="0"/>
      </w:pPr>
    </w:p>
    <w:p>
      <w:pPr>
        <w:pStyle w:val="Heading2"/>
      </w:pPr>
      <w:r>
        <w:t>Tài liệu tham chiếu</w:t>
      </w:r>
    </w:p>
    <w:p>
      <w:r>
        <w:t>S01 Nguồn yêu cầu. plan.docx đính kèm, gồm ý tưởng rộng và phụ lục ngày 17/09/2026; bảng SRC trong tài liệu 00 xử lý các khác biệt.</w:t>
      </w:r>
    </w:p>
    <w:p>
      <w:r>
        <w:t>S02 Kỹ nghệ yêu cầu. ISO/IEC/IEEE 29148:2018, trang giới thiệu chính thức: https://www.iso.org/standard/72089.html</w:t>
      </w:r>
    </w:p>
    <w:p>
      <w:r>
        <w:t>S06 Lập lịch. GAO Schedule Assessment Guide GAO-16-89G: https://www.gao.gov/products/gao-16-89g</w:t>
      </w:r>
    </w:p>
    <w:p>
      <w:r>
        <w:t>Nguồn công khai được tra cứu ngày 21/09/2026. Áp dụng có chọn lọc cho thiết kế; không tuyên bố chứng nhận ISO hoặc ASVS. Điều kiện pháp lý cụ thể phải được đối chiếu với dữ liệu và hợp đồng thực tế.</w:t>
      </w:r>
    </w:p>
    <w:sectPr w:rsidR="00FC693F" w:rsidRPr="0006063C" w:rsidSect="00034616">
      <w:footerReference w:type="default" r:id="rId9"/>
      <w:pgSz w:w="12240" w:h="15840"/>
      <w:pgMar w:top="936"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00 | EAS 2.0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10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Arial" w:hAnsi="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Phạm vi và kế hoạch triển khai EAS</dc:title>
  <dc:subject/>
  <dc:creator>Nhóm tài liệu dự án EAS</dc:creator>
  <cp:keywords/>
  <dc:description>generated by python-docx</dc:description>
  <cp:lastModifiedBy/>
  <cp:revision>1</cp:revision>
  <dcterms:created xsi:type="dcterms:W3CDTF">2013-12-23T23:15:00Z</dcterms:created>
  <dcterms:modified xsi:type="dcterms:W3CDTF">2013-12-23T23:15:00Z</dcterms:modified>
  <cp:category/>
</cp:coreProperties>
</file>