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Vận hành pháp lý và nghiệm thu EAS</w:t>
      </w:r>
    </w:p>
    <w:p>
      <w:pPr>
        <w:pStyle w:val="Subtitle"/>
      </w:pPr>
      <w:r>
        <w:t>Điều kiện triển khai phục hồi dữ liệu và bàn giao</w:t>
      </w:r>
    </w:p>
    <w:p>
      <w:r>
        <w:t>Phiên bản 2.0 | Ngày 21/09/2026 | Trạng thái Chờ xác nhận nghiệp vụ và kế hoạch</w:t>
      </w:r>
    </w:p>
    <w:p>
      <w:r>
        <w:t>Tài liệu quy định việc đội dự án và khách hàng phải thực hiện trước và sau triển khai. Runbook dùng topology tham chiếu của SDD; DevOps phải gắn địa chỉ môi trường, công cụ backup và release thực tế trước diễn tập G4. Không có phê duyệt hoặc kết quả thực thi nào được điền sẵn. Các chỉ tiêu RPO/RTO và thời gian hỗ trợ là đề xuất cần KD08.</w:t>
      </w:r>
    </w:p>
    <w:p>
      <w:pPr>
        <w:pStyle w:val="Heading1"/>
      </w:pPr>
      <w:r>
        <w:t>1 Môi trường và gói triển khai</w:t>
      </w:r>
    </w:p>
    <w:tbl>
      <w:tblPr>
        <w:tblW w:type="auto" w:w="0"/>
        <w:tblLayout w:type="fixed"/>
        <w:tblLook w:firstColumn="1" w:firstRow="1" w:lastColumn="0" w:lastRow="0" w:noHBand="0" w:noVBand="1" w:val="04A0"/>
      </w:tblPr>
      <w:tblGrid>
        <w:gridCol w:w="1728"/>
        <w:gridCol w:w="8640"/>
      </w:tblGrid>
      <w:tr>
        <w:trPr>
          <w:cantSplit/>
          <w:tblHeader/>
        </w:trPr>
        <w:tc>
          <w:tcPr>
            <w:tcW w:type="dxa" w:w="172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Môi trường</w:t>
            </w:r>
          </w:p>
        </w:tc>
        <w:tc>
          <w:tcPr>
            <w:tcW w:type="dxa" w:w="86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Quy tắc và cấu hình</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TEST</w:t>
            </w:r>
          </w:p>
        </w:tc>
        <w:tc>
          <w:tcPr>
            <w:tcW w:type="dxa" w:w="86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DB/storage namespace riêng mỗi run; fake clock/fault hooks chỉ TEST; dữ liệu giả, không route mạng tới hệ thống thật.</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STAGING</w:t>
            </w:r>
          </w:p>
        </w:tc>
        <w:tc>
          <w:tcPr>
            <w:tcW w:type="dxa" w:w="86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Topology, major DB, image, scanner và cấu hình bảo mật gần production; profile tải NFR03; secrets và bucket riêng.</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PRODUCTION</w:t>
            </w:r>
          </w:p>
        </w:tc>
        <w:tc>
          <w:tcPr>
            <w:tcW w:type="dxa" w:w="86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HTTPS proxy; DB/worker/scanner/storage private; network allowlist; object versioning, WAL archive, backup ngoài máy; không endpoint seed/fault/fakeclock.</w:t>
            </w:r>
          </w:p>
        </w:tc>
      </w:tr>
    </w:tbl>
    <w:p>
      <w:pPr>
        <w:spacing w:after="0"/>
      </w:pPr>
    </w:p>
    <w:p>
      <w:r>
        <w:t>Release pack phải có compose.prod.yaml, image digests, migration plan, lockfile/SBOM, config release IDs, manifest biến môi trường, script preflight/smoke/reconcile, backup/restore adapter đã kiểm, phiên bản runbook và link bằng chứng. Không dùng latest tag. Không đưa file secret vào gói bàn giao công khai.</w:t>
      </w:r>
    </w:p>
    <w:tbl>
      <w:tblPr>
        <w:tblW w:type="auto" w:w="0"/>
        <w:tblLayout w:type="fixed"/>
        <w:tblLook w:firstColumn="1" w:firstRow="1" w:lastColumn="0" w:lastRow="0" w:noHBand="0" w:noVBand="1" w:val="04A0"/>
      </w:tblPr>
      <w:tblGrid>
        <w:gridCol w:w="5904"/>
        <w:gridCol w:w="3024"/>
        <w:gridCol w:w="1440"/>
      </w:tblGrid>
      <w:tr>
        <w:trPr>
          <w:cantSplit/>
          <w:tblHeader/>
        </w:trPr>
        <w:tc>
          <w:tcPr>
            <w:tcW w:type="dxa" w:w="590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Binding phải điền</w:t>
            </w:r>
          </w:p>
        </w:tc>
        <w:tc>
          <w:tcPr>
            <w:tcW w:type="dxa" w:w="302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Chủ cung cấp</w:t>
            </w:r>
          </w:p>
        </w:tc>
        <w:tc>
          <w:tcPr>
            <w:tcW w:type="dxa" w:w="14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Hạn</w:t>
            </w:r>
          </w:p>
        </w:tc>
      </w:tr>
      <w:tr>
        <w:trPr>
          <w:cantSplit/>
        </w:trPr>
        <w:tc>
          <w:tcPr>
            <w:tcW w:type="dxa" w:w="59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PROD_URL, STAGE_URL, DNS/TLS và allowlist</w:t>
            </w:r>
          </w:p>
        </w:tc>
        <w:tc>
          <w:tcPr>
            <w:tcW w:type="dxa" w:w="30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IT khách hàng</w:t>
            </w:r>
          </w:p>
        </w:tc>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D10</w:t>
            </w:r>
          </w:p>
        </w:tc>
      </w:tr>
      <w:tr>
        <w:trPr>
          <w:cantSplit/>
        </w:trPr>
        <w:tc>
          <w:tcPr>
            <w:tcW w:type="dxa" w:w="59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App/DB/worker resources, storage region và bucket IDs</w:t>
            </w:r>
          </w:p>
        </w:tc>
        <w:tc>
          <w:tcPr>
            <w:tcW w:type="dxa" w:w="30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DevOps và IT</w:t>
            </w:r>
          </w:p>
        </w:tc>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D10</w:t>
            </w:r>
          </w:p>
        </w:tc>
      </w:tr>
      <w:tr>
        <w:trPr>
          <w:cantSplit/>
        </w:trPr>
        <w:tc>
          <w:tcPr>
            <w:tcW w:type="dxa" w:w="59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Image digest N và N-1; migration compatibility</w:t>
            </w:r>
          </w:p>
        </w:tc>
        <w:tc>
          <w:tcPr>
            <w:tcW w:type="dxa" w:w="30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Tech lead</w:t>
            </w:r>
          </w:p>
        </w:tc>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Trước rehearsal</w:t>
            </w:r>
          </w:p>
        </w:tc>
      </w:tr>
      <w:tr>
        <w:trPr>
          <w:cantSplit/>
        </w:trPr>
        <w:tc>
          <w:tcPr>
            <w:tcW w:type="dxa" w:w="59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Backup tool/config, WAL location, object version manifest</w:t>
            </w:r>
          </w:p>
        </w:tc>
        <w:tc>
          <w:tcPr>
            <w:tcW w:type="dxa" w:w="30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DevOps</w:t>
            </w:r>
          </w:p>
        </w:tc>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Trước TC089</w:t>
            </w:r>
          </w:p>
        </w:tc>
      </w:tr>
      <w:tr>
        <w:trPr>
          <w:cantSplit/>
        </w:trPr>
        <w:tc>
          <w:tcPr>
            <w:tcW w:type="dxa" w:w="59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RETENTION_POLICY_ID, DPA và người sở hữu dữ liệu</w:t>
            </w:r>
          </w:p>
        </w:tc>
        <w:tc>
          <w:tcPr>
            <w:tcW w:type="dxa" w:w="30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Pháp chế/chủ dữ liệu</w:t>
            </w:r>
          </w:p>
        </w:tc>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Trước dữ liệu thật</w:t>
            </w:r>
          </w:p>
        </w:tc>
      </w:tr>
      <w:tr>
        <w:trPr>
          <w:cantSplit/>
        </w:trPr>
        <w:tc>
          <w:tcPr>
            <w:tcW w:type="dxa" w:w="59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Incident contacts, cutover window và rollback owner</w:t>
            </w:r>
          </w:p>
        </w:tc>
        <w:tc>
          <w:tcPr>
            <w:tcW w:type="dxa" w:w="30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PM/khách hàng</w:t>
            </w:r>
          </w:p>
        </w:tc>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KD08 trước G4</w:t>
            </w:r>
          </w:p>
        </w:tc>
      </w:tr>
    </w:tbl>
    <w:p>
      <w:pPr>
        <w:spacing w:after="0"/>
      </w:pPr>
    </w:p>
    <w:p>
      <w:pPr>
        <w:pStyle w:val="Heading2"/>
      </w:pPr>
      <w:r>
        <w:t>2 Trách nhiệm vận hành</w:t>
      </w:r>
    </w:p>
    <w:p>
      <w:r>
        <w:t>Release owner quyết định abort/rollback và ghi thời điểm; DevOps chạy lệnh; QA chạy smoke/đối soát; DBA phục hồi DB; storage operator phục hồi objects; PO xác nhận nghiệp vụ; pháp chế/chủ dữ liệu quyết định xử lý dữ liệu thật và thông báo sự cố. Một người có thể kiêm vai trò kỹ thuật nếu được giao rõ, nhưng người thực thi purge không tự phê duyệt purge.</w:t>
      </w:r>
    </w:p>
    <w:p>
      <w:pPr>
        <w:pStyle w:val="Heading1"/>
        <w:pageBreakBefore/>
      </w:pPr>
      <w:r>
        <w:t>3 Runbook trước triển khai RB01</w:t>
      </w:r>
    </w:p>
    <w:p>
      <w:r>
        <w:t>1. Release owner đối chiếu G3/G4, chữ ký UAT, KD06/KD08 và danh sách lỗi mở; thiếu một mục bắt buộc thì dừng trước thay đổi production.</w:t>
      </w:r>
    </w:p>
    <w:p>
      <w:r>
        <w:t>2. DevOps ghi release manifest N/N-1, image digest và active config IDs; xác nhận đồng hồ UTC, dung lượng ≥30% trống, TLS/secret/backup/monitoring/scanner khỏe.</w:t>
      </w:r>
    </w:p>
    <w:p>
      <w:r>
        <w:t>3. QA chạy preflight ở STAGING đúng manifest; xác nhận migration expand tương thích N-1, identity seed dry-run và quyền quản trị không được bypass.</w:t>
      </w:r>
    </w:p>
    <w:p>
      <w:r>
        <w:t>4. DevOps kiểm điểm backup gần nhất ≤15 phút và thử liệt kê object versions; DBA chứng minh WAL liên tục không gap. Bản backup tồn tại chưa đủ, phải có restore rehearsal TC089–090 PASS.</w:t>
      </w:r>
    </w:p>
    <w:p>
      <w:r>
        <w:t>5. PM xác nhận cửa sổ triển khai, người trực, nhóm user pilot và kênh liên hệ. Ghi thời điểm bắt đầu và mã change/release; không thao tác khi thiếu người rollback.</w:t>
      </w:r>
    </w:p>
    <w:p>
      <w:pPr>
        <w:pStyle w:val="Heading1"/>
      </w:pPr>
      <w:r>
        <w:t>4 Đóng ghi và tạo mốc khôi phục RB02</w:t>
      </w:r>
    </w:p>
    <w:p>
      <w:r>
        <w:t>1. Bật chế độ maintenance từ proxy/API, trả503 cho command mới; đọc vẫn cho phép theo kế hoạch. Chờ transaction đang ghi kết thúc, tối đa 60s; quá thời gian thì abort và điều tra, không kill tùy tiện.</w:t>
      </w:r>
    </w:p>
    <w:p>
      <w:r>
        <w:t>2. Dừng scheduler/worker sau khi hết transaction; lease chưa xong không tự coi SENT. Tắt mọi đường tích hợp ngoài nếu có adapter P1 về sau.</w:t>
      </w:r>
    </w:p>
    <w:p>
      <w:r>
        <w:t>3. Chụp mốc T_backup: DB LSN/time/backup ID; object manifest chứa attachment_id,storage_key,object_version,size,sha256 của tất cả tệp được tham chiếu. Kiểm đủ object trước xác nhận.</w:t>
      </w:r>
    </w:p>
    <w:p>
      <w:r>
        <w:t>4. Ghi audit checkpoint vào kho ngoài quyền ứng dụng; lưu checksum manifest, config và release. Điểm phục hồi phải có DB/object cùng mốc; nếu lệch thì chưa triển khai.</w:t>
      </w:r>
    </w:p>
    <w:p>
      <w:r>
        <w:t>Hợp đồng automation bắt buộc trong release pack: preflight --manifest; maintenance on|off; backup --consistent-point; reconcile --manifest; restore --point; smoke --profile. Developer/DevOps phải cài và thử các adapter này cho hạ tầng đã chọn. Tên hợp đồng không chứng minh script đã tồn tại; đường dẫn và lệnh đã kiểm được điền vào execution record trước G4.</w:t>
      </w:r>
    </w:p>
    <w:p>
      <w:pPr>
        <w:pStyle w:val="Heading2"/>
      </w:pPr>
      <w:r>
        <w:t>5 Nâng phiên bản RB03</w:t>
      </w:r>
    </w:p>
    <w:p>
      <w:pPr>
        <w:spacing w:after="0"/>
      </w:pPr>
      <w:r>
        <w:rPr>
          <w:rFonts w:ascii="Consolas" w:hAnsi="Consolas"/>
          <w:sz w:val="16"/>
        </w:rPr>
        <w:t>docker compose --env-file /run/eas/prod.env -f compose.prod.yaml config --quiet</w:t>
      </w:r>
    </w:p>
    <w:p>
      <w:pPr>
        <w:spacing w:after="0"/>
      </w:pPr>
      <w:r>
        <w:rPr>
          <w:rFonts w:ascii="Consolas" w:hAnsi="Consolas"/>
          <w:sz w:val="16"/>
        </w:rPr>
        <w:t>docker compose --env-file /run/eas/prod.env -f compose.prod.yaml pull</w:t>
      </w:r>
    </w:p>
    <w:p>
      <w:pPr>
        <w:spacing w:after="0"/>
      </w:pPr>
      <w:r>
        <w:rPr>
          <w:rFonts w:ascii="Consolas" w:hAnsi="Consolas"/>
          <w:sz w:val="16"/>
        </w:rPr>
        <w:t>docker compose --env-file /run/eas/prod.env -f compose.prod.yaml run --rm api   python manage.py migrate --plan</w:t>
      </w:r>
    </w:p>
    <w:p>
      <w:pPr>
        <w:spacing w:after="0"/>
      </w:pPr>
      <w:r>
        <w:rPr>
          <w:rFonts w:ascii="Consolas" w:hAnsi="Consolas"/>
          <w:sz w:val="16"/>
        </w:rPr>
        <w:t>docker compose --env-file /run/eas/prod.env -f compose.prod.yaml run --rm api   python manage.py migrate --noinput</w:t>
      </w:r>
    </w:p>
    <w:p>
      <w:pPr>
        <w:spacing w:after="0"/>
      </w:pPr>
      <w:r>
        <w:rPr>
          <w:rFonts w:ascii="Consolas" w:hAnsi="Consolas"/>
          <w:sz w:val="16"/>
        </w:rPr>
        <w:t>docker compose --env-file /run/eas/prod.env -f compose.prod.yaml up -d api worker proxy</w:t>
      </w:r>
    </w:p>
    <w:p>
      <w:r>
        <w:t>Ví dụ lệnh giả định tên service api/worker/proxy và secret file đã được provisioning; không chạy trước khi manifest thực tế được review. Không in compose config đầy đủ chứa secrets. So migration plan với bản đã duyệt; có DROP/rename phá tương thích thì abort cửa sổ P0. Khởi động scanner/storage/DB được quản lý riêng, không tạo lại volume trong lệnh nâng app.</w:t>
      </w:r>
    </w:p>
    <w:p>
      <w:pPr>
        <w:pStyle w:val="Heading1"/>
        <w:pageBreakBefore/>
      </w:pPr>
      <w:r>
        <w:t>6 Xác minh và quyết định sau triển khai RB04</w:t>
      </w:r>
    </w:p>
    <w:p>
      <w:r>
        <w:t>1. QA kiểm health/release digest/config IDs và chạy TC100 với tài khoản kiểm tra đã duyệt; file private, notification và audit phải hoạt động. Không dùng account thật để cấp quyền hay mua thiết bị chỉ nhằm smoke.</w:t>
      </w:r>
    </w:p>
    <w:p>
      <w:r>
        <w:t>2. Đối soát request/decision/attachment count và hash theo manifest trước/sau; yêu cầu không có dữ liệu mất hoặc liên kết thiếu.</w:t>
      </w:r>
    </w:p>
    <w:p>
      <w:r>
        <w:t>3. Theo dõi tối thiểu 60 phút sau mở ghi: 5xx&lt;0,1%, không lỗi quyền/toàn vẹn, p95 đạt profile, backlog≤120s, DEAD=0, backup mới thành công.</w:t>
      </w:r>
    </w:p>
    <w:p>
      <w:r>
        <w:t>4. Release owner đóng G5 và mở pilot theo nhóm được PO duyệt; nếu không đạt điều kiện thì giữ maintenance hoặc thực hiện RB05.</w:t>
      </w:r>
    </w:p>
    <w:tbl>
      <w:tblPr>
        <w:tblW w:type="auto" w:w="0"/>
        <w:tblLayout w:type="fixed"/>
        <w:tblLook w:firstColumn="1" w:firstRow="1" w:lastColumn="0" w:lastRow="0" w:noHBand="0" w:noVBand="1" w:val="04A0"/>
      </w:tblPr>
      <w:tblGrid>
        <w:gridCol w:w="3168"/>
        <w:gridCol w:w="5184"/>
        <w:gridCol w:w="2016"/>
      </w:tblGrid>
      <w:tr>
        <w:trPr>
          <w:cantSplit/>
          <w:tblHeader/>
        </w:trPr>
        <w:tc>
          <w:tcPr>
            <w:tcW w:type="dxa" w:w="316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Điều kiện abort</w:t>
            </w:r>
          </w:p>
        </w:tc>
        <w:tc>
          <w:tcPr>
            <w:tcW w:type="dxa" w:w="518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Quyết định bắt buộc</w:t>
            </w:r>
          </w:p>
        </w:tc>
        <w:tc>
          <w:tcPr>
            <w:tcW w:type="dxa" w:w="201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Thời hạn phản ứng đề xuất</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Sai quyền rò dữ liệu hoặc quyết định sai</w:t>
            </w:r>
          </w:p>
        </w:tc>
        <w:tc>
          <w:tcPr>
            <w:tcW w:type="dxa" w:w="51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Đóng ghi ngay; giữ chứng cứ; incident và rollback theo tác động</w:t>
            </w:r>
          </w:p>
        </w:tc>
        <w:tc>
          <w:tcPr>
            <w:tcW w:type="dxa" w:w="20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Ngay khi xác nhận</w:t>
            </w:r>
          </w:p>
        </w:tc>
      </w:tr>
      <w:tr>
        <w:trPr>
          <w:cantSplit/>
        </w:trPr>
        <w:tc>
          <w:tcPr>
            <w:tcW w:type="dxa" w:w="31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Migration lỗi hoặc thiếu object/hash sai</w:t>
            </w:r>
          </w:p>
        </w:tc>
        <w:tc>
          <w:tcPr>
            <w:tcW w:type="dxa" w:w="51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Không mở ghi; dừng triển khai, restore/repair đã diễn tập</w:t>
            </w:r>
          </w:p>
        </w:tc>
        <w:tc>
          <w:tcPr>
            <w:tcW w:type="dxa" w:w="20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Trong cửa sổ cutover</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Smoke P0 FAIL hoặc health không lên</w:t>
            </w:r>
          </w:p>
        </w:tc>
        <w:tc>
          <w:tcPr>
            <w:tcW w:type="dxa" w:w="51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Rollback code nếu tương thích; không waive ca P0</w:t>
            </w:r>
          </w:p>
        </w:tc>
        <w:tc>
          <w:tcPr>
            <w:tcW w:type="dxa" w:w="20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Tối đa 15 phút điều tra</w:t>
            </w:r>
          </w:p>
        </w:tc>
      </w:tr>
      <w:tr>
        <w:trPr>
          <w:cantSplit/>
        </w:trPr>
        <w:tc>
          <w:tcPr>
            <w:tcW w:type="dxa" w:w="31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5xx ≥1% liên tục 5 phút hoặc worker DEAD&gt;0 chưa giải thích</w:t>
            </w:r>
          </w:p>
        </w:tc>
        <w:tc>
          <w:tcPr>
            <w:tcW w:type="dxa" w:w="51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Release owner đánh giá abort; bảo toàn queue/data</w:t>
            </w:r>
          </w:p>
        </w:tc>
        <w:tc>
          <w:tcPr>
            <w:tcW w:type="dxa" w:w="20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Trong 10 phút sau alarm</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RPO/RTO không đạt hoặc backup gap</w:t>
            </w:r>
          </w:p>
        </w:tc>
        <w:tc>
          <w:tcPr>
            <w:tcW w:type="dxa" w:w="51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Chặn go live; bổ sung backup và diễn tập</w:t>
            </w:r>
          </w:p>
        </w:tc>
        <w:tc>
          <w:tcPr>
            <w:tcW w:type="dxa" w:w="20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Trước G4</w:t>
            </w:r>
          </w:p>
        </w:tc>
      </w:tr>
    </w:tbl>
    <w:p>
      <w:pPr>
        <w:spacing w:after="0"/>
      </w:pPr>
    </w:p>
    <w:p>
      <w:pPr>
        <w:pStyle w:val="Heading2"/>
      </w:pPr>
      <w:r>
        <w:t>7 Rollback và đối soát RB05</w:t>
      </w:r>
    </w:p>
    <w:p>
      <w:r>
        <w:t>1. Đóng ghi và ghi thời điểm T_stop; lưu transaction/request/event IDs phát sinh từ cutover đến T_stop, backup hiện trạng phục vụ điều tra.</w:t>
      </w:r>
    </w:p>
    <w:p>
      <w:r>
        <w:t>2. Ưu tiên rollback image N-1 trên schema expand tương thích. Không down migration phá dữ liệu. Khởi động lại và chạy smoke/reconcile trước mở ghi.</w:t>
      </w:r>
    </w:p>
    <w:p>
      <w:r>
        <w:t>3. Chỉ restore DB khi không thể rollback code hoặc dữ liệu hỏng và có quyết định release owner + PO. Chọn điểm T_restore, kiểm WAL và object versions, phục hồi sang môi trường cô lập trước.</w:t>
      </w:r>
    </w:p>
    <w:p>
      <w:r>
        <w:t>4. Đối soát các ghi sau T_restore từ journal/backup hiện trạng. Người có thẩm quyền xác nhận giao dịch cần tái nhập; không tự tạo approval hoặc thực hiện lại thao tác ngoài EAS. Ghi mọi dữ liệu chưa phục hồi và mức RPO đã chấp nhận.</w:t>
      </w:r>
    </w:p>
    <w:p>
      <w:r>
        <w:t>5. Tắt outbound, kiểm request/decision/file/audit/idempotency/outbox trước chuyển endpoint. Mở lại worker có dedupe; không replay payment/provisioning tự động vì ngoài P0.</w:t>
      </w:r>
    </w:p>
    <w:p>
      <w:r>
        <w:t>6. QA/PO ký đối soát và smoke rồi mới mở ghi; ghi thời gian downtime, điểm phục hồi và incident action items.</w:t>
      </w:r>
    </w:p>
    <w:p>
      <w:pPr>
        <w:pStyle w:val="Heading1"/>
        <w:pageBreakBefore/>
      </w:pPr>
      <w:r>
        <w:t>8 Backup phục hồi và giám sát</w:t>
      </w:r>
    </w:p>
    <w:p>
      <w:r>
        <w:t>NFR05 là mục tiêu thiết kế: RPO ≤15 phút và RTO ≤4 giờ. Base backup DB hằng ngày, WAL archive liên tục, object versioning; backup mã hóa ngoài máy chính và account không bị runtime xóa. Tần suất không tự chứng minh RPO; đo khoảng giữa commit cuối đã phục hồi và thời điểm sự cố. RTO từ phát hiện/khai báo sự cố đến khôi phục dịch vụ được QA/PO chấp nhận.</w:t>
      </w:r>
    </w:p>
    <w:p>
      <w:r>
        <w:t>Thử restore trước go live và sau thay major DB/storage/backup; đề xuất định kỳ mỗi quý trong hợp đồng vận hành. Restore cô lập, chặn email/outbound, xác minh chain audit với checkpoint, đối soát attachment manifest và khóa mã hóa có thể truy cập bằng quy trình được duyệt. Backup chứa dữ liệu đã purge phải có thời hạn loại bỏ và suppression manifest để không làm sống lại dữ liệu khi restore.</w:t>
      </w:r>
    </w:p>
    <w:tbl>
      <w:tblPr>
        <w:tblW w:type="auto" w:w="0"/>
        <w:tblLayout w:type="fixed"/>
        <w:tblLook w:firstColumn="1" w:firstRow="1" w:lastColumn="0" w:lastRow="0" w:noHBand="0" w:noVBand="1" w:val="04A0"/>
      </w:tblPr>
      <w:tblGrid>
        <w:gridCol w:w="1872"/>
        <w:gridCol w:w="4896"/>
        <w:gridCol w:w="3600"/>
      </w:tblGrid>
      <w:tr>
        <w:trPr>
          <w:cantSplit/>
          <w:tblHeader/>
        </w:trPr>
        <w:tc>
          <w:tcPr>
            <w:tcW w:type="dxa" w:w="187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Chỉ số</w:t>
            </w:r>
          </w:p>
        </w:tc>
        <w:tc>
          <w:tcPr>
            <w:tcW w:type="dxa" w:w="489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Ngưỡng hành động</w:t>
            </w:r>
          </w:p>
        </w:tc>
        <w:tc>
          <w:tcPr>
            <w:tcW w:type="dxa" w:w="360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Owner và bằng chứng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API 5xx và p95</w:t>
            </w:r>
          </w:p>
        </w:tc>
        <w:tc>
          <w:tcPr>
            <w:tcW w:type="dxa" w:w="48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5xx ≥1%/5 phút báo động; p95 GET ≥1s hoặc command ≥2s trong 10 phút cần điều tra.</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DevOps; dashboard/correlation</w:t>
            </w:r>
          </w:p>
        </w:tc>
      </w:tr>
      <w:tr>
        <w:trPr>
          <w:cantSplit/>
        </w:trPr>
        <w:tc>
          <w:tcPr>
            <w:tcW w:type="dxa" w:w="18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SLA worker</w:t>
            </w:r>
          </w:p>
        </w:tc>
        <w:tc>
          <w:tcPr>
            <w:tcW w:type="dxa" w:w="48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Scan quá 120s; lease tồn đọng; DEAD &gt;0.</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Ops; eventID/lease/attempts</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Storage/scanner</w:t>
            </w:r>
          </w:p>
        </w:tc>
        <w:tc>
          <w:tcPr>
            <w:tcW w:type="dxa" w:w="48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Object thiếu, scan ERROR tăng hoặc quota ≥80%.</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Ops; manifest/scanID</w:t>
            </w:r>
          </w:p>
        </w:tc>
      </w:tr>
      <w:tr>
        <w:trPr>
          <w:cantSplit/>
        </w:trPr>
        <w:tc>
          <w:tcPr>
            <w:tcW w:type="dxa" w:w="18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DB/WAL/backup</w:t>
            </w:r>
          </w:p>
        </w:tc>
        <w:tc>
          <w:tcPr>
            <w:tcW w:type="dxa" w:w="48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WAL gap, backup lỗi, điểm phục hồi gần nhất quá 15 phút hoặc dung lượng trống dưới 30%.</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DBA; backupID/LSN</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Security</w:t>
            </w:r>
          </w:p>
        </w:tc>
        <w:tc>
          <w:tcPr>
            <w:tcW w:type="dxa" w:w="48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Login lỗi tăng, thao tác trái quyền, audit verify FAIL.</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Security; incident ticket</w:t>
            </w:r>
          </w:p>
        </w:tc>
      </w:tr>
      <w:tr>
        <w:trPr>
          <w:cantSplit/>
        </w:trPr>
        <w:tc>
          <w:tcPr>
            <w:tcW w:type="dxa" w:w="18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Nguồn lực</w:t>
            </w:r>
          </w:p>
        </w:tc>
        <w:tc>
          <w:tcPr>
            <w:tcW w:type="dxa" w:w="48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CPU/RAM/connection pool bão hòa hoặc tải gần ngưỡng.</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Techlead; capacity review</w:t>
            </w:r>
          </w:p>
        </w:tc>
      </w:tr>
    </w:tbl>
    <w:p>
      <w:pPr>
        <w:spacing w:after="0"/>
      </w:pPr>
    </w:p>
    <w:p>
      <w:pPr>
        <w:pStyle w:val="Heading2"/>
      </w:pPr>
      <w:r>
        <w:t>9 Dữ liệu ban đầu và bàn giao</w:t>
      </w:r>
    </w:p>
    <w:p>
      <w:r>
        <w:t>Chỉ nhập users/phòng/manager/roles và ba config đã duyệt bằng manifest dry-run. Không migration lịch sử HR/ERP trong P0. Chủ dữ liệu kiểm số dòng, role/scope và người nhận việc; test account tách khỏi dữ liệu kinh doanh, không thêm cột is_test nếu chưa thiết kế. TC100 dùng phòng kiểm tra được ký và report filter loại phòng đó, sau đó khóa account kiểm tra theo kế hoạch.</w:t>
      </w:r>
    </w:p>
    <w:p>
      <w:r>
        <w:t>Bàn giao gồm hướng dẫn người dùng cho bốn vai trò, hướng dẫn OPS/POLICY, release/source rights theo hợp đồng, SBOM/license, secrets handover qua kênh bảo mật, backup/restore runbook, dashboard, danh sách người trực, known issues và kế hoạch đào tạo một phiên thực hành A/B/C. Hypercare đề xuất D38–D40; SLA hỗ trợ sau đó cần phụ lục thương mại, không mặc định trực 24/7.</w:t>
      </w:r>
    </w:p>
    <w:p>
      <w:pPr>
        <w:pStyle w:val="Heading1"/>
        <w:pageBreakBefore/>
      </w:pPr>
      <w:r>
        <w:t>10 Ma trận dữ liệu và nghĩa vụ pháp lý</w:t>
      </w:r>
    </w:p>
    <w:p>
      <w:r>
        <w:t>Luật 91/2025/QH15 và Nghị định 356/2025/NĐ-CP có hiệu lực từ 01/01/2026. Bảng này xác định kiểm soát cần thẩm định theo dữ liệu EAS; không kết luận đủ tuân thủ chỉ từ thiết kế. Pháp chế phải kiểm tra văn bản sửa đổi và quy định ngành áp dụng tại ngày ký/go live, đặc biệt hồ sơ đánh giá tác động, chuyển dữ liệu và thời hạn xử lý từng quyền.</w:t>
      </w:r>
    </w:p>
    <w:tbl>
      <w:tblPr>
        <w:tblW w:type="auto" w:w="0"/>
        <w:tblLayout w:type="fixed"/>
        <w:tblLook w:firstColumn="1" w:firstRow="1" w:lastColumn="0" w:lastRow="0" w:noHBand="0" w:noVBand="1" w:val="04A0"/>
      </w:tblPr>
      <w:tblGrid>
        <w:gridCol w:w="2160"/>
        <w:gridCol w:w="4320"/>
        <w:gridCol w:w="3888"/>
      </w:tblGrid>
      <w:tr>
        <w:trPr>
          <w:cantSplit/>
          <w:tblHeader/>
        </w:trPr>
        <w:tc>
          <w:tcPr>
            <w:tcW w:type="dxa" w:w="216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Dữ liệu</w:t>
            </w:r>
          </w:p>
        </w:tc>
        <w:tc>
          <w:tcPr>
            <w:tcW w:type="dxa" w:w="432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Mục đích và nơi đi</w:t>
            </w:r>
          </w:p>
        </w:tc>
        <w:tc>
          <w:tcPr>
            <w:tcW w:type="dxa" w:w="388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Retention và người chốt</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Họ tên tài khoản phòng manager</w:t>
            </w:r>
          </w:p>
        </w:tc>
        <w:tc>
          <w:tcPr>
            <w:tcW w:type="dxa" w:w="43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Định danh/route; browser→API→DB→backup</w:t>
            </w:r>
          </w:p>
        </w:tc>
        <w:tc>
          <w:tcPr>
            <w:tcW w:type="dxa" w:w="388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HR/chủ dữ liệu chốt theo quan hệ lao động và nghĩa vụ áp dụng</w:t>
            </w:r>
          </w:p>
        </w:tc>
      </w:tr>
      <w:tr>
        <w:trPr>
          <w:cantSplit/>
        </w:trPr>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Nội dung yêu cầu và tệp</w:t>
            </w:r>
          </w:p>
        </w:tc>
        <w:tc>
          <w:tcPr>
            <w:tcW w:type="dxa" w:w="43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Phê duyệt/thực hiện; private storage; có thể chứa thông tin nhạy cảm trong free text</w:t>
            </w:r>
          </w:p>
        </w:tc>
        <w:tc>
          <w:tcPr>
            <w:tcW w:type="dxa" w:w="388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Chủ quy trình/pháp chế; form cấm secrets, hướng dẫn không nhập dữ liệu không cần</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Quyết định và audit</w:t>
            </w:r>
          </w:p>
        </w:tc>
        <w:tc>
          <w:tcPr>
            <w:tcW w:type="dxa" w:w="43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Truy vết trách nhiệm; DB và checkpoint ngoài DB</w:t>
            </w:r>
          </w:p>
        </w:tc>
        <w:tc>
          <w:tcPr>
            <w:tcW w:type="dxa" w:w="388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Pháp chế chốt thời hạn/căn cứ; không mặc định giữ vô hạn</w:t>
            </w:r>
          </w:p>
        </w:tc>
      </w:tr>
      <w:tr>
        <w:trPr>
          <w:cantSplit/>
        </w:trPr>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IP/session/securitylog</w:t>
            </w:r>
          </w:p>
        </w:tc>
        <w:tc>
          <w:tcPr>
            <w:tcW w:type="dxa" w:w="43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Bảo vệ truy cập; log store riêng</w:t>
            </w:r>
          </w:p>
        </w:tc>
        <w:tc>
          <w:tcPr>
            <w:tcW w:type="dxa" w:w="388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Security/chủ dữ liệu chốt; token/password không được log</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Backup và version objects</w:t>
            </w:r>
          </w:p>
        </w:tc>
        <w:tc>
          <w:tcPr>
            <w:tcW w:type="dxa" w:w="43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Khôi phục; kho ngoài máy/vùng theo KD06</w:t>
            </w:r>
          </w:p>
        </w:tc>
        <w:tc>
          <w:tcPr>
            <w:tcW w:type="dxa" w:w="388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Retention độc lập nhưng phải nhất quán purge/hold; chủ dữ liệu và Ops</w:t>
            </w:r>
          </w:p>
        </w:tc>
      </w:tr>
    </w:tbl>
    <w:p>
      <w:pPr>
        <w:spacing w:after="0"/>
      </w:pPr>
    </w:p>
    <w:tbl>
      <w:tblPr>
        <w:tblW w:type="auto" w:w="0"/>
        <w:tblLayout w:type="fixed"/>
        <w:tblLook w:firstColumn="1" w:firstRow="1" w:lastColumn="0" w:lastRow="0" w:noHBand="0" w:noVBand="1" w:val="04A0"/>
      </w:tblPr>
      <w:tblGrid>
        <w:gridCol w:w="2160"/>
        <w:gridCol w:w="1800"/>
        <w:gridCol w:w="4536"/>
        <w:gridCol w:w="1872"/>
      </w:tblGrid>
      <w:tr>
        <w:trPr>
          <w:cantSplit/>
          <w:tblHeader/>
        </w:trPr>
        <w:tc>
          <w:tcPr>
            <w:tcW w:type="dxa" w:w="216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Mã và căn cứ</w:t>
            </w:r>
          </w:p>
        </w:tc>
        <w:tc>
          <w:tcPr>
            <w:tcW w:type="dxa" w:w="180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Áp dụng khi</w:t>
            </w:r>
          </w:p>
        </w:tc>
        <w:tc>
          <w:tcPr>
            <w:tcW w:type="dxa" w:w="453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Kiểm soát và bằng chứng</w:t>
            </w:r>
          </w:p>
        </w:tc>
        <w:tc>
          <w:tcPr>
            <w:tcW w:type="dxa" w:w="187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Chủ xác nhận</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PL01 Luật Điều 4</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Có dữ liệu nhân viên</w:t>
            </w:r>
          </w:p>
        </w:tc>
        <w:tc>
          <w:tcPr>
            <w:tcW w:type="dxa" w:w="45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Kênh tiếp nhận quyền; privacy_case, xác minh người yêu cầu, due_at và decision reference; TC085</w:t>
            </w:r>
          </w:p>
        </w:tc>
        <w:tc>
          <w:tcPr>
            <w:tcW w:type="dxa" w:w="18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Chủ dữ liệu</w:t>
            </w:r>
          </w:p>
        </w:tc>
      </w:tr>
      <w:tr>
        <w:trPr>
          <w:cantSplit/>
        </w:trPr>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PL02 Luật Điều 9 và 19</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Xác lập căn cứ xử lý</w:t>
            </w:r>
          </w:p>
        </w:tc>
        <w:tc>
          <w:tcPr>
            <w:tcW w:type="dxa" w:w="45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Ghi mục đích/căn cứ theo từng nhóm; nếu dựa consent phải có bằng chứng phù hợp; không coi login là consent cho mọi mục đích</w:t>
            </w:r>
          </w:p>
        </w:tc>
        <w:tc>
          <w:tcPr>
            <w:tcW w:type="dxa" w:w="18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Pháp chế</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PL03 Luật Điều 18</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Lưu trữ và truy cập</w:t>
            </w:r>
          </w:p>
        </w:tc>
        <w:tc>
          <w:tcPr>
            <w:tcW w:type="dxa" w:w="45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Data map, quyền tối thiểu, mã hóa, log và restore; TC023–026,077,089</w:t>
            </w:r>
          </w:p>
        </w:tc>
        <w:tc>
          <w:tcPr>
            <w:tcW w:type="dxa" w:w="18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Security và Ops</w:t>
            </w:r>
          </w:p>
        </w:tc>
      </w:tr>
      <w:tr>
        <w:trPr>
          <w:cantSplit/>
        </w:trPr>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PL04 Luật Điều 20</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Cloud hoặc bên nhận ngoài Việt Nam</w:t>
            </w:r>
          </w:p>
        </w:tc>
        <w:tc>
          <w:tcPr>
            <w:tcW w:type="dxa" w:w="45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Kiểm vị trí lưu/xử lý và bên nhận; đánh giá nghĩa vụ chuyển xuyên biên giới/hồ sơ trước cấu hình dịch vụ</w:t>
            </w:r>
          </w:p>
        </w:tc>
        <w:tc>
          <w:tcPr>
            <w:tcW w:type="dxa" w:w="18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Pháp chế</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PL05 Nghị định 356 quy trình quyền</w:t>
            </w:r>
          </w:p>
        </w:tc>
        <w:tc>
          <w:tcPr>
            <w:tcW w:type="dxa" w:w="18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Tiếp nhận yêu cầu chủ thể</w:t>
            </w:r>
          </w:p>
        </w:tc>
        <w:tc>
          <w:tcPr>
            <w:tcW w:type="dxa" w:w="45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Chốt thời hạn phản hồi/hoàn tất theo từng quyền và trường hợp; SLA pháp lý riêng, không dùng 24 giờ workflow thay luật</w:t>
            </w:r>
          </w:p>
        </w:tc>
        <w:tc>
          <w:tcPr>
            <w:tcW w:type="dxa" w:w="18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Pháp chế</w:t>
            </w:r>
          </w:p>
        </w:tc>
      </w:tr>
      <w:tr>
        <w:trPr>
          <w:cantSplit/>
        </w:trPr>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PL06 Phân loại dữ liệu và hợp đồng</w:t>
            </w:r>
          </w:p>
        </w:tc>
        <w:tc>
          <w:tcPr>
            <w:tcW w:type="dxa" w:w="18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Nội dung/tệp có dữ liệu cá nhân</w:t>
            </w:r>
          </w:p>
        </w:tc>
        <w:tc>
          <w:tcPr>
            <w:tcW w:type="dxa" w:w="45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Inventory và phân loại theo nghị định; thỏa thuận vai trò controller/processor, subprocessor, hỗ trợ sự cố và trả/xóa dữ liệu</w:t>
            </w:r>
          </w:p>
        </w:tc>
        <w:tc>
          <w:tcPr>
            <w:tcW w:type="dxa" w:w="18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Khách hàng và nhà cung cấp</w:t>
            </w:r>
          </w:p>
        </w:tc>
      </w:tr>
    </w:tbl>
    <w:p>
      <w:pPr>
        <w:spacing w:after="0"/>
      </w:pPr>
    </w:p>
    <w:p>
      <w:r>
        <w:t>Đầu ra KD06 phải có tên doanh nghiệp, ngành, vai trò các bên, mục đích/căn cứ, danh mục dữ liệu, nơi lưu/xử lý, nhà cung cấp phụ, thời hạn từng nhóm, legal hold, đầu mối quyền chủ thể/sự cố và danh sách nghĩa vụ hồ sơ áp dụng hoặc lý do không áp dụng. Mục chưa xác nhận ghi OPEN và owner/date, không ghi N/A theo cảm tính.</w:t>
      </w:r>
    </w:p>
    <w:p>
      <w:pPr>
        <w:pStyle w:val="Heading1"/>
        <w:pageBreakBefore/>
      </w:pPr>
      <w:r>
        <w:t>11 Quy trình quyền dữ liệu và lưu giữ</w:t>
      </w:r>
    </w:p>
    <w:p>
      <w:r>
        <w:t>1. Tiếp nhận và xác minh chủ thể qua đầu mối được công bố; tạo privacy_case, loại quyền, ngày nhận, due_at theo pháp chế và policy version.</w:t>
      </w:r>
    </w:p>
    <w:p>
      <w:r>
        <w:t>2. Chủ dữ liệu phân loại quyền/căn cứ/ngoại lệ và legal hold; quyết định phê duyệt hoặc từ chối có lý do, không cho operator tự chọn.</w:t>
      </w:r>
    </w:p>
    <w:p>
      <w:r>
        <w:t>3. ACCESS/CORRECT: trích xuất/đính chính có kiểm dữ liệu bên khác; dữ liệu lịch sử dùng bản đính chính hoặc redaction có audit phù hợp, không tự sửa actor quyết định.</w:t>
      </w:r>
    </w:p>
    <w:p>
      <w:r>
        <w:t>4. ERASE/RESTRICT/OBJECT: tạo manifest phạm vi DB/object/log/backup; dry-run và người thứ hai review; chỉ account đặc quyền thực thi trong cửa sổ có kiểm soát.</w:t>
      </w:r>
    </w:p>
    <w:p>
      <w:r>
        <w:t>5. Sau purge, ghi chứng cứ tối thiểu không tái chứa nội dung đã xóa; cập nhật suppression manifest cho restore và xử lý bản backup khi hết retention.</w:t>
      </w:r>
    </w:p>
    <w:p>
      <w:r>
        <w:t>6. Phản hồi chủ thể theo thời hạn đã xác lập và đóng case; quá hạn phải escalation, không giấu bằng cách đặt completed_at lùi.</w:t>
      </w:r>
    </w:p>
    <w:p>
      <w:r>
        <w:t>Audit append only là quyền của ứng dụng thường. Nó không tạo quyền giữ dữ liệu cá nhân vô hạn hoặc bỏ qua nghĩa vụ xóa. Chọn redaction/pseudonymization/purge phải có căn cứ pháp lý, bảo toàn điều cần truy vết và được kiểm bằng TC084; hash từ dữ liệu cá nhân không tự được coi là dữ liệu vô danh.</w:t>
      </w:r>
    </w:p>
    <w:p>
      <w:r>
        <w:t>Manifest purge phải liệt kê phụ thuộc FK và mọi bản sao object/checkpoint/backup; không tắt FK toàn hệ thống. Nếu được phép xóa toàn hồ sơ, xóa theo thứ tự phụ thuộc trong transaction đặc quyền, gồm toàn chuỗi REQ và audit_head tương ứng; lưu chứng cứ phê duyệt tối thiểu ở admin_event cùng suppression manifest, không lưu lại nội dung đã xóa. Checkpoint liên quan được xử lý theo retention đã duyệt; verifier nhận biết scope đã purge hợp lệ thay vì báo PASS cho chuỗi mất. Không xóa một event giữa chuỗi rồi nối lại hash. Trường hợp phải giữ một phần cần phương án redaction có version được pháp chế và security duyệt, cùng bằng chứng TC084, trước thực thi.</w:t>
      </w:r>
    </w:p>
    <w:p>
      <w:pPr>
        <w:pStyle w:val="Heading2"/>
      </w:pPr>
      <w:r>
        <w:t>12 Hợp đồng bàn giao và quản lý sự cố</w:t>
      </w:r>
    </w:p>
    <w:p>
      <w:r>
        <w:t>Phụ lục thương mại cần nêu in/out scope SRC, điều kiện nghiệm thu, trách nhiệm nhập/kiểm dữ liệu, quyền sở hữu/quyền sử dụng source và cấu hình, license thành phần thứ ba, hạ tầng/chi phí cloud, thời hạn bảo hành/hỗ trợ, lỗi tồn và change request. Không dùng audit hash làm cam kết chữ ký số. Không gán trách nhiệm pháp lý cụ thể cho một bên khi hợp đồng chưa xác nhận.</w:t>
      </w:r>
    </w:p>
    <w:p>
      <w:r>
        <w:t>Khi sự cố dữ liệu: bảo toàn log và hạn chế truy cập, mở incident với thời điểm/phạm vi/loại dữ liệu, báo đầu mối có thẩm quyền; pháp chế xác định nghĩa vụ/thời hạn thông báo theo sự kiện và quy định áp dụng; đội kỹ thuật cung cấp evidence, khắc phục và root-cause. Không tự công bố hoặc gửi thông báo cho người khác khi chưa được người có thẩm quyền chỉ định.</w:t>
      </w:r>
    </w:p>
    <w:p>
      <w:pPr>
        <w:pStyle w:val="Heading1"/>
        <w:pageBreakBefore/>
      </w:pPr>
      <w:r>
        <w:t>13 Biên bản nghiệm thu và quyết định triển khai</w:t>
      </w:r>
    </w:p>
    <w:tbl>
      <w:tblPr>
        <w:tblW w:type="auto" w:w="0"/>
        <w:tblLayout w:type="fixed"/>
        <w:tblLook w:firstColumn="1" w:firstRow="1" w:lastColumn="0" w:lastRow="0" w:noHBand="0" w:noVBand="1" w:val="04A0"/>
      </w:tblPr>
      <w:tblGrid>
        <w:gridCol w:w="2448"/>
        <w:gridCol w:w="7920"/>
      </w:tblGrid>
      <w:tr>
        <w:trPr>
          <w:cantSplit/>
          <w:tblHeader/>
        </w:trPr>
        <w:tc>
          <w:tcPr>
            <w:tcW w:type="dxa" w:w="244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Trường cần ghi</w:t>
            </w:r>
          </w:p>
        </w:tc>
        <w:tc>
          <w:tcPr>
            <w:tcW w:type="dxa" w:w="792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Nội dung</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Release và phạm vi</w:t>
            </w:r>
          </w:p>
        </w:tc>
        <w:tc>
          <w:tcPr>
            <w:tcW w:type="dxa" w:w="79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Tag/digest: ______; config IDs: ______; baseline SRS 2.0; CR đã ký: ______</w:t>
            </w:r>
          </w:p>
        </w:tc>
      </w:tr>
      <w:tr>
        <w:trPr>
          <w:cantSplit/>
        </w:trPr>
        <w:tc>
          <w:tcPr>
            <w:tcW w:type="dxa" w:w="244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Môi trường</w:t>
            </w:r>
          </w:p>
        </w:tc>
        <w:tc>
          <w:tcPr>
            <w:tcW w:type="dxa" w:w="79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URL/hạ tầng/DB/scanner/browser build: ______; test data/seed hash: ______</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Kết quả</w:t>
            </w:r>
          </w:p>
        </w:tc>
        <w:tc>
          <w:tcPr>
            <w:tcW w:type="dxa" w:w="79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G3 PASS evidence: ______; TC088–092: ______; TC099 UAT: ______; pháp lý KD06: ______</w:t>
            </w:r>
          </w:p>
        </w:tc>
      </w:tr>
      <w:tr>
        <w:trPr>
          <w:cantSplit/>
        </w:trPr>
        <w:tc>
          <w:tcPr>
            <w:tcW w:type="dxa" w:w="244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Lỗi tồn</w:t>
            </w:r>
          </w:p>
        </w:tc>
        <w:tc>
          <w:tcPr>
            <w:tcW w:type="dxa" w:w="79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Defect ID/severity/impact/workaround/owner/hạn: ______; không S0/S1; không ca P0 FAIL</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Khôi phục</w:t>
            </w:r>
          </w:p>
        </w:tc>
        <w:tc>
          <w:tcPr>
            <w:tcW w:type="dxa" w:w="79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BackupID/LSN/objectmanifest/checkpoint: ______; RPO đo: ______; RTO đo: ______</w:t>
            </w:r>
          </w:p>
        </w:tc>
      </w:tr>
      <w:tr>
        <w:trPr>
          <w:cantSplit/>
        </w:trPr>
        <w:tc>
          <w:tcPr>
            <w:tcW w:type="dxa" w:w="244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Quyết định trước deploy</w:t>
            </w:r>
          </w:p>
        </w:tc>
        <w:tc>
          <w:tcPr>
            <w:tcW w:type="dxa" w:w="79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GO/NO-GO: ______; release owner: ______; PO: ______; QA: ______; ngày giờ: ______</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Sau deploy</w:t>
            </w:r>
          </w:p>
        </w:tc>
        <w:tc>
          <w:tcPr>
            <w:tcW w:type="dxa" w:w="79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TC100 evidence: ______; metrics 60 phút: ______; GO/ROLLBACK: ______; người ký và giờ: ______</w:t>
            </w:r>
          </w:p>
        </w:tc>
      </w:tr>
      <w:tr>
        <w:trPr>
          <w:cantSplit/>
        </w:trPr>
        <w:tc>
          <w:tcPr>
            <w:tcW w:type="dxa" w:w="244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Bàn giao</w:t>
            </w:r>
          </w:p>
        </w:tc>
        <w:tc>
          <w:tcPr>
            <w:tcW w:type="dxa" w:w="79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Ops tiếp nhận: ______; hypercare/hỗ trợ: ______; training/known issues: ______</w:t>
            </w:r>
          </w:p>
        </w:tc>
      </w:tr>
    </w:tbl>
    <w:p>
      <w:pPr>
        <w:spacing w:after="0"/>
      </w:pPr>
    </w:p>
    <w:p>
      <w:pPr>
        <w:pStyle w:val="Heading2"/>
      </w:pPr>
      <w:r>
        <w:t>14 Đối chiếu xử lý 20 phát hiện PM</w:t>
      </w:r>
    </w:p>
    <w:tbl>
      <w:tblPr>
        <w:tblW w:type="auto" w:w="0"/>
        <w:tblLayout w:type="fixed"/>
        <w:tblLook w:firstColumn="1" w:firstRow="1" w:lastColumn="0" w:lastRow="0" w:noHBand="0" w:noVBand="1" w:val="04A0"/>
      </w:tblPr>
      <w:tblGrid>
        <w:gridCol w:w="1440"/>
        <w:gridCol w:w="5472"/>
        <w:gridCol w:w="3456"/>
      </w:tblGrid>
      <w:tr>
        <w:trPr>
          <w:cantSplit/>
          <w:tblHeader/>
        </w:trPr>
        <w:tc>
          <w:tcPr>
            <w:tcW w:type="dxa" w:w="14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Phát hiện</w:t>
            </w:r>
          </w:p>
        </w:tc>
        <w:tc>
          <w:tcPr>
            <w:tcW w:type="dxa" w:w="547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Đã bổ sung trong 2.0</w:t>
            </w:r>
          </w:p>
        </w:tc>
        <w:tc>
          <w:tcPr>
            <w:tcW w:type="dxa" w:w="345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Điều kiện đóng còn lại</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PM01–03</w:t>
            </w:r>
          </w:p>
        </w:tc>
        <w:tc>
          <w:tcPr>
            <w:tcW w:type="dxa" w:w="54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SRC, KD, WBS effort/capacity, chuỗi găng và cổng tại 00</w:t>
            </w:r>
          </w:p>
        </w:tc>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PO/sponsor xác nhận phạm vi, thẩm quyền, ngày và nguồn lực</w:t>
            </w:r>
          </w:p>
        </w:tc>
      </w:tr>
      <w:tr>
        <w:trPr>
          <w:cantSplit/>
        </w:trPr>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PM04–05</w:t>
            </w:r>
          </w:p>
        </w:tc>
        <w:tc>
          <w:tcPr>
            <w:tcW w:type="dxa" w:w="54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Ma trận quyền, snapshot, manager/binding, SoD và UC09/17</w:t>
            </w:r>
          </w:p>
        </w:tc>
        <w:tc>
          <w:tcPr>
            <w:tcW w:type="dxa" w:w="34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Review KD03/04 và test code khi có</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PM06–10</w:t>
            </w:r>
          </w:p>
        </w:tc>
        <w:tc>
          <w:tcPr>
            <w:tcW w:type="dxa" w:w="54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Admin audit, release JSON, FK/partial index, khóa quyền, workerDB rõ</w:t>
            </w:r>
          </w:p>
        </w:tc>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Review migration và domain implementation và TC liên quan</w:t>
            </w:r>
          </w:p>
        </w:tc>
      </w:tr>
      <w:tr>
        <w:trPr>
          <w:cantSplit/>
        </w:trPr>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PM11–13</w:t>
            </w:r>
          </w:p>
        </w:tc>
        <w:tc>
          <w:tcPr>
            <w:tcW w:type="dxa" w:w="54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16 UC P0, state/event đầy đủ, endpoint/schema,14 hình và 30 bảng</w:t>
            </w:r>
          </w:p>
        </w:tc>
        <w:tc>
          <w:tcPr>
            <w:tcW w:type="dxa" w:w="34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Review thiết kế liên ngành, không còn hiểu khác guard</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PM14–17</w:t>
            </w:r>
          </w:p>
        </w:tc>
        <w:tc>
          <w:tcPr>
            <w:tcW w:type="dxa" w:w="54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100 TC cụ thể, fixture/RTM, G3/G4/G5 tách, NFR có metric</w:t>
            </w:r>
          </w:p>
        </w:tc>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KD05/08 và execution evidence</w:t>
            </w:r>
          </w:p>
        </w:tc>
      </w:tr>
      <w:tr>
        <w:trPr>
          <w:cantSplit/>
        </w:trPr>
        <w:tc>
          <w:tcPr>
            <w:tcW w:type="dxa" w:w="14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PM18–19</w:t>
            </w:r>
          </w:p>
        </w:tc>
        <w:tc>
          <w:tcPr>
            <w:tcW w:type="dxa" w:w="54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Runbook có trình tự, abort/restore; data map, pháp lý, retention và biên bản.</w:t>
            </w:r>
          </w:p>
        </w:tc>
        <w:tc>
          <w:tcPr>
            <w:tcW w:type="dxa" w:w="34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Điền hạ tầng, legal applicability, rehearsal và UAT</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PM20</w:t>
            </w:r>
          </w:p>
        </w:tc>
        <w:tc>
          <w:tcPr>
            <w:tcW w:type="dxa" w:w="54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Namespace KD/SRC/V1, version 2.0 và nguồn chuẩn khóa phiên bản</w:t>
            </w:r>
          </w:p>
        </w:tc>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Reviewer xác nhận mapping và control set áp dụng</w:t>
            </w:r>
          </w:p>
        </w:tc>
      </w:tr>
    </w:tbl>
    <w:p>
      <w:pPr>
        <w:spacing w:after="0"/>
      </w:pPr>
    </w:p>
    <w:p>
      <w:pPr>
        <w:pStyle w:val="Heading2"/>
      </w:pPr>
      <w:r>
        <w:t>Tài liệu tham chiếu</w:t>
      </w:r>
    </w:p>
    <w:p>
      <w:r>
        <w:t>S07 Dữ liệu cá nhân. Luật 91/2025/QH15: https://chinhphu.vn/?classid=1&amp;docid=214590&amp;pageid=27160&amp;typegroupid=3</w:t>
      </w:r>
    </w:p>
    <w:p>
      <w:r>
        <w:t>S08 Hướng dẫn thi hành. Nghị định 356/2025/NĐ-CP: https://chinhphu.vn/?classid=1&amp;docid=216387&amp;pageid=27160&amp;typegroupid=4</w:t>
      </w:r>
    </w:p>
    <w:p>
      <w:r>
        <w:t>Nguồn công khai được tra cứu ngày 21/09/2026. Áp dụng có chọn lọc cho thiết kế; không tuyên bố chứng nhận ISO hoặc ASVS. Điều kiện pháp lý cụ thể phải được đối chiếu với dữ liệu và hợp đồng thực tế.</w:t>
      </w:r>
    </w:p>
    <w:p>
      <w:r>
        <w:t>Nguồn toàn văn chính thức: https://datafiles.chinhphu.vn/cpp/files/vbpq/2025/7/91qh.signed.pdf và https://datafiles.chinhphu.vn/cpp/files/vbpq/2026/01/356-nd.signed.pdf. Phần pháp lý là ma trận thẩm định dự án, cần người có thẩm quyền xác nhận trước dữ liệu thật.</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05 | EAS 2.0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Vận hành pháp lý và nghiệm thu EAS</dc:title>
  <dc:subject/>
  <dc:creator>Nhóm tài liệu dự án EAS</dc:creator>
  <cp:keywords/>
  <dc:description>generated by python-docx</dc:description>
  <cp:lastModifiedBy/>
  <cp:revision>1</cp:revision>
  <dcterms:created xsi:type="dcterms:W3CDTF">2013-12-23T23:15:00Z</dcterms:created>
  <dcterms:modified xsi:type="dcterms:W3CDTF">2013-12-23T23:15:00Z</dcterms:modified>
  <cp:category/>
</cp:coreProperties>
</file>