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F2B" w:rsidRPr="00996F2B" w:rsidRDefault="00996F2B" w:rsidP="00996F2B">
      <w:pPr>
        <w:spacing w:before="100" w:beforeAutospacing="1" w:after="100" w:afterAutospacing="1" w:line="240" w:lineRule="auto"/>
        <w:outlineLvl w:val="1"/>
        <w:rPr>
          <w:rFonts w:ascii="Times New Roman" w:eastAsia="Times New Roman" w:hAnsi="Times New Roman" w:cs="Times New Roman"/>
          <w:b/>
          <w:bCs/>
          <w:sz w:val="36"/>
          <w:szCs w:val="36"/>
        </w:rPr>
      </w:pPr>
      <w:r w:rsidRPr="00996F2B">
        <w:rPr>
          <w:rFonts w:ascii="Times New Roman" w:eastAsia="Times New Roman" w:hAnsi="Times New Roman" w:cs="Times New Roman"/>
          <w:b/>
          <w:bCs/>
          <w:sz w:val="36"/>
          <w:szCs w:val="36"/>
        </w:rPr>
        <w:t xml:space="preserve">Câu 1: Phân chia hệ thống </w:t>
      </w:r>
      <w:proofErr w:type="gramStart"/>
      <w:r w:rsidRPr="00996F2B">
        <w:rPr>
          <w:rFonts w:ascii="Times New Roman" w:eastAsia="Times New Roman" w:hAnsi="Times New Roman" w:cs="Times New Roman"/>
          <w:b/>
          <w:bCs/>
          <w:sz w:val="36"/>
          <w:szCs w:val="36"/>
        </w:rPr>
        <w:t>theo</w:t>
      </w:r>
      <w:proofErr w:type="gramEnd"/>
      <w:r w:rsidRPr="00996F2B">
        <w:rPr>
          <w:rFonts w:ascii="Times New Roman" w:eastAsia="Times New Roman" w:hAnsi="Times New Roman" w:cs="Times New Roman"/>
          <w:b/>
          <w:bCs/>
          <w:sz w:val="36"/>
          <w:szCs w:val="36"/>
        </w:rPr>
        <w:t xml:space="preserve"> Domain</w:t>
      </w:r>
      <w:bookmarkStart w:id="0" w:name="_GoBack"/>
      <w:bookmarkEnd w:id="0"/>
      <w:r w:rsidRPr="00996F2B">
        <w:rPr>
          <w:rFonts w:ascii="Times New Roman" w:eastAsia="Times New Roman" w:hAnsi="Times New Roman" w:cs="Times New Roman"/>
          <w:b/>
          <w:bCs/>
          <w:sz w:val="36"/>
          <w:szCs w:val="36"/>
        </w:rPr>
        <w:t xml:space="preserve"> Decomposition</w:t>
      </w:r>
    </w:p>
    <w:p w:rsidR="00996F2B" w:rsidRPr="00996F2B" w:rsidRDefault="00996F2B" w:rsidP="00996F2B">
      <w:pPr>
        <w:spacing w:before="100" w:beforeAutospacing="1" w:after="100" w:afterAutospacing="1" w:line="240" w:lineRule="auto"/>
        <w:rPr>
          <w:rFonts w:ascii="Times New Roman" w:eastAsia="Times New Roman" w:hAnsi="Times New Roman" w:cs="Times New Roman"/>
          <w:sz w:val="26"/>
          <w:szCs w:val="26"/>
        </w:rPr>
      </w:pPr>
      <w:r w:rsidRPr="00996F2B">
        <w:rPr>
          <w:rFonts w:ascii="Times New Roman" w:eastAsia="Times New Roman" w:hAnsi="Times New Roman" w:cs="Times New Roman"/>
          <w:sz w:val="26"/>
          <w:szCs w:val="26"/>
        </w:rPr>
        <w:t xml:space="preserve">Hệ thống </w:t>
      </w:r>
      <w:r w:rsidRPr="00996F2B">
        <w:rPr>
          <w:rFonts w:ascii="Times New Roman" w:eastAsia="Times New Roman" w:hAnsi="Times New Roman" w:cs="Times New Roman"/>
          <w:b/>
          <w:bCs/>
          <w:sz w:val="26"/>
          <w:szCs w:val="26"/>
        </w:rPr>
        <w:t>Course Management</w:t>
      </w:r>
      <w:r w:rsidRPr="00996F2B">
        <w:rPr>
          <w:rFonts w:ascii="Times New Roman" w:eastAsia="Times New Roman" w:hAnsi="Times New Roman" w:cs="Times New Roman"/>
          <w:sz w:val="26"/>
          <w:szCs w:val="26"/>
        </w:rPr>
        <w:t xml:space="preserve"> được phân chia </w:t>
      </w:r>
      <w:proofErr w:type="gramStart"/>
      <w:r w:rsidRPr="00996F2B">
        <w:rPr>
          <w:rFonts w:ascii="Times New Roman" w:eastAsia="Times New Roman" w:hAnsi="Times New Roman" w:cs="Times New Roman"/>
          <w:sz w:val="26"/>
          <w:szCs w:val="26"/>
        </w:rPr>
        <w:t>theo</w:t>
      </w:r>
      <w:proofErr w:type="gramEnd"/>
      <w:r w:rsidRPr="00996F2B">
        <w:rPr>
          <w:rFonts w:ascii="Times New Roman" w:eastAsia="Times New Roman" w:hAnsi="Times New Roman" w:cs="Times New Roman"/>
          <w:sz w:val="26"/>
          <w:szCs w:val="26"/>
        </w:rPr>
        <w:t xml:space="preserve"> hướng </w:t>
      </w:r>
      <w:r w:rsidRPr="00996F2B">
        <w:rPr>
          <w:rFonts w:ascii="Times New Roman" w:eastAsia="Times New Roman" w:hAnsi="Times New Roman" w:cs="Times New Roman"/>
          <w:b/>
          <w:bCs/>
          <w:sz w:val="26"/>
          <w:szCs w:val="26"/>
        </w:rPr>
        <w:t>Domain Decomposition</w:t>
      </w:r>
      <w:r w:rsidRPr="00996F2B">
        <w:rPr>
          <w:rFonts w:ascii="Times New Roman" w:eastAsia="Times New Roman" w:hAnsi="Times New Roman" w:cs="Times New Roman"/>
          <w:sz w:val="26"/>
          <w:szCs w:val="26"/>
        </w:rPr>
        <w:t xml:space="preserve"> bằng cách xác định và tách riêng các </w:t>
      </w:r>
      <w:r w:rsidRPr="00996F2B">
        <w:rPr>
          <w:rFonts w:ascii="Times New Roman" w:eastAsia="Times New Roman" w:hAnsi="Times New Roman" w:cs="Times New Roman"/>
          <w:b/>
          <w:bCs/>
          <w:sz w:val="26"/>
          <w:szCs w:val="26"/>
        </w:rPr>
        <w:t>miền nghiệp vụ (business domains)</w:t>
      </w:r>
      <w:r w:rsidRPr="00996F2B">
        <w:rPr>
          <w:rFonts w:ascii="Times New Roman" w:eastAsia="Times New Roman" w:hAnsi="Times New Roman" w:cs="Times New Roman"/>
          <w:sz w:val="26"/>
          <w:szCs w:val="26"/>
        </w:rPr>
        <w:t xml:space="preserve"> cốt lõi mà hệ thống cần hỗ trợ, trong đó mỗi mô-đun đại diện cho một năng lực nghiệp vụ độc lập và chịu trách nhiệm toàn bộ logic liên quan đến miền đó. Cụ thể, hệ thống có thể được chia thành các mô-đun chính gồm </w:t>
      </w:r>
      <w:r w:rsidRPr="00996F2B">
        <w:rPr>
          <w:rFonts w:ascii="Times New Roman" w:eastAsia="Times New Roman" w:hAnsi="Times New Roman" w:cs="Times New Roman"/>
          <w:b/>
          <w:bCs/>
          <w:sz w:val="26"/>
          <w:szCs w:val="26"/>
        </w:rPr>
        <w:t>User Management</w:t>
      </w:r>
      <w:r w:rsidRPr="00996F2B">
        <w:rPr>
          <w:rFonts w:ascii="Times New Roman" w:eastAsia="Times New Roman" w:hAnsi="Times New Roman" w:cs="Times New Roman"/>
          <w:sz w:val="26"/>
          <w:szCs w:val="26"/>
        </w:rPr>
        <w:t xml:space="preserve"> (quản lý thông tin và vai trò của sinh viên, giảng viên), </w:t>
      </w:r>
      <w:r w:rsidRPr="00996F2B">
        <w:rPr>
          <w:rFonts w:ascii="Times New Roman" w:eastAsia="Times New Roman" w:hAnsi="Times New Roman" w:cs="Times New Roman"/>
          <w:b/>
          <w:bCs/>
          <w:sz w:val="26"/>
          <w:szCs w:val="26"/>
        </w:rPr>
        <w:t>Course Management</w:t>
      </w:r>
      <w:r w:rsidRPr="00996F2B">
        <w:rPr>
          <w:rFonts w:ascii="Times New Roman" w:eastAsia="Times New Roman" w:hAnsi="Times New Roman" w:cs="Times New Roman"/>
          <w:sz w:val="26"/>
          <w:szCs w:val="26"/>
        </w:rPr>
        <w:t xml:space="preserve"> (quản lý khóa học, nội dung bài học và tài liệu), </w:t>
      </w:r>
      <w:r w:rsidRPr="00996F2B">
        <w:rPr>
          <w:rFonts w:ascii="Times New Roman" w:eastAsia="Times New Roman" w:hAnsi="Times New Roman" w:cs="Times New Roman"/>
          <w:b/>
          <w:bCs/>
          <w:sz w:val="26"/>
          <w:szCs w:val="26"/>
        </w:rPr>
        <w:t>Enrollment</w:t>
      </w:r>
      <w:r w:rsidRPr="00996F2B">
        <w:rPr>
          <w:rFonts w:ascii="Times New Roman" w:eastAsia="Times New Roman" w:hAnsi="Times New Roman" w:cs="Times New Roman"/>
          <w:sz w:val="26"/>
          <w:szCs w:val="26"/>
        </w:rPr>
        <w:t xml:space="preserve"> (xử lý việc đăng ký, hủy đăng ký và theo dõi trạng thái tham gia khóa học), </w:t>
      </w:r>
      <w:r w:rsidRPr="00996F2B">
        <w:rPr>
          <w:rFonts w:ascii="Times New Roman" w:eastAsia="Times New Roman" w:hAnsi="Times New Roman" w:cs="Times New Roman"/>
          <w:b/>
          <w:bCs/>
          <w:sz w:val="26"/>
          <w:szCs w:val="26"/>
        </w:rPr>
        <w:t>Assessment</w:t>
      </w:r>
      <w:r w:rsidRPr="00996F2B">
        <w:rPr>
          <w:rFonts w:ascii="Times New Roman" w:eastAsia="Times New Roman" w:hAnsi="Times New Roman" w:cs="Times New Roman"/>
          <w:sz w:val="26"/>
          <w:szCs w:val="26"/>
        </w:rPr>
        <w:t xml:space="preserve"> (quản lý bài tập, kiểm tra, chấm điểm và đánh giá kết quả học tập) và </w:t>
      </w:r>
      <w:r w:rsidRPr="00996F2B">
        <w:rPr>
          <w:rFonts w:ascii="Times New Roman" w:eastAsia="Times New Roman" w:hAnsi="Times New Roman" w:cs="Times New Roman"/>
          <w:b/>
          <w:bCs/>
          <w:sz w:val="26"/>
          <w:szCs w:val="26"/>
        </w:rPr>
        <w:t>Reporting</w:t>
      </w:r>
      <w:r w:rsidRPr="00996F2B">
        <w:rPr>
          <w:rFonts w:ascii="Times New Roman" w:eastAsia="Times New Roman" w:hAnsi="Times New Roman" w:cs="Times New Roman"/>
          <w:sz w:val="26"/>
          <w:szCs w:val="26"/>
        </w:rPr>
        <w:t xml:space="preserve"> (tổng hợp tiến độ học tập, thống kê và báo cáo). Mỗi mô-đun trong cách phân chia này hoạt động tương đối độc lập, giao tiếp với các mô-đun khác thông qua các giao diện rõ ràng, giúp hệ thống phản ánh đúng cấu trúc nghiệp vụ thực tế và hỗ trợ tốt cho việc mở rộng và bảo trì trong tương lai.</w:t>
      </w:r>
    </w:p>
    <w:p w:rsidR="00996F2B" w:rsidRDefault="00996F2B" w:rsidP="00996F2B">
      <w:pPr>
        <w:pStyle w:val="Heading2"/>
      </w:pPr>
      <w:r>
        <w:rPr>
          <w:rStyle w:val="Strong"/>
          <w:b/>
          <w:bCs/>
        </w:rPr>
        <w:t xml:space="preserve">Câu 2: Phân chia hệ thống </w:t>
      </w:r>
      <w:proofErr w:type="gramStart"/>
      <w:r>
        <w:rPr>
          <w:rStyle w:val="Strong"/>
          <w:b/>
          <w:bCs/>
        </w:rPr>
        <w:t>theo</w:t>
      </w:r>
      <w:proofErr w:type="gramEnd"/>
      <w:r>
        <w:rPr>
          <w:rStyle w:val="Strong"/>
          <w:b/>
          <w:bCs/>
        </w:rPr>
        <w:t xml:space="preserve"> Technical Partitioning</w:t>
      </w:r>
    </w:p>
    <w:p w:rsidR="00996F2B" w:rsidRDefault="00996F2B" w:rsidP="00996F2B">
      <w:pPr>
        <w:pStyle w:val="NormalWeb"/>
        <w:rPr>
          <w:sz w:val="26"/>
          <w:szCs w:val="26"/>
        </w:rPr>
      </w:pPr>
      <w:r w:rsidRPr="00996F2B">
        <w:rPr>
          <w:sz w:val="26"/>
          <w:szCs w:val="26"/>
        </w:rPr>
        <w:t xml:space="preserve">Hệ thống </w:t>
      </w:r>
      <w:r w:rsidRPr="00996F2B">
        <w:rPr>
          <w:rStyle w:val="Strong"/>
          <w:sz w:val="26"/>
          <w:szCs w:val="26"/>
        </w:rPr>
        <w:t>Course Management</w:t>
      </w:r>
      <w:r w:rsidRPr="00996F2B">
        <w:rPr>
          <w:sz w:val="26"/>
          <w:szCs w:val="26"/>
        </w:rPr>
        <w:t xml:space="preserve"> được phân chia </w:t>
      </w:r>
      <w:proofErr w:type="gramStart"/>
      <w:r w:rsidRPr="00996F2B">
        <w:rPr>
          <w:sz w:val="26"/>
          <w:szCs w:val="26"/>
        </w:rPr>
        <w:t>theo</w:t>
      </w:r>
      <w:proofErr w:type="gramEnd"/>
      <w:r w:rsidRPr="00996F2B">
        <w:rPr>
          <w:sz w:val="26"/>
          <w:szCs w:val="26"/>
        </w:rPr>
        <w:t xml:space="preserve"> hướng </w:t>
      </w:r>
      <w:r w:rsidRPr="00996F2B">
        <w:rPr>
          <w:rStyle w:val="Strong"/>
          <w:sz w:val="26"/>
          <w:szCs w:val="26"/>
        </w:rPr>
        <w:t>Technical Partitioning</w:t>
      </w:r>
      <w:r w:rsidRPr="00996F2B">
        <w:rPr>
          <w:sz w:val="26"/>
          <w:szCs w:val="26"/>
        </w:rPr>
        <w:t xml:space="preserve"> bằng cách tổ chức các mô-đun dựa trên </w:t>
      </w:r>
      <w:r w:rsidRPr="00996F2B">
        <w:rPr>
          <w:rStyle w:val="Strong"/>
          <w:sz w:val="26"/>
          <w:szCs w:val="26"/>
        </w:rPr>
        <w:t>vai trò kỹ thuật và tầng kiến trúc</w:t>
      </w:r>
      <w:r w:rsidRPr="00996F2B">
        <w:rPr>
          <w:sz w:val="26"/>
          <w:szCs w:val="26"/>
        </w:rPr>
        <w:t xml:space="preserve"> của hệ thống thay vì theo nghiệp vụ, trong đó mỗi mô-đun chịu trách nhiệm cho một khía cạnh kỹ thuật cụ thể trong quá trình xây dựng và vận hành phần mềm. Cụ thể, hệ thống được chia thành </w:t>
      </w:r>
      <w:r w:rsidRPr="00996F2B">
        <w:rPr>
          <w:rStyle w:val="Strong"/>
          <w:sz w:val="26"/>
          <w:szCs w:val="26"/>
        </w:rPr>
        <w:t>Presentation Layer</w:t>
      </w:r>
      <w:r w:rsidRPr="00996F2B">
        <w:rPr>
          <w:sz w:val="26"/>
          <w:szCs w:val="26"/>
        </w:rPr>
        <w:t xml:space="preserve"> để xử lý giao diện người dùng và tương tác với sinh viên, giảng viên; </w:t>
      </w:r>
      <w:r w:rsidRPr="00996F2B">
        <w:rPr>
          <w:rStyle w:val="Strong"/>
          <w:sz w:val="26"/>
          <w:szCs w:val="26"/>
        </w:rPr>
        <w:t>Application/Service Layer</w:t>
      </w:r>
      <w:r w:rsidRPr="00996F2B">
        <w:rPr>
          <w:sz w:val="26"/>
          <w:szCs w:val="26"/>
        </w:rPr>
        <w:t xml:space="preserve"> để điều phối các ca sử dụng và thực thi logic nghiệp vụ; </w:t>
      </w:r>
      <w:r w:rsidRPr="00996F2B">
        <w:rPr>
          <w:rStyle w:val="Strong"/>
          <w:sz w:val="26"/>
          <w:szCs w:val="26"/>
        </w:rPr>
        <w:t>Domain Model</w:t>
      </w:r>
      <w:r w:rsidRPr="00996F2B">
        <w:rPr>
          <w:sz w:val="26"/>
          <w:szCs w:val="26"/>
        </w:rPr>
        <w:t xml:space="preserve"> để định nghĩa các thực thể cốt lõi như Course, User và Enrollment; </w:t>
      </w:r>
      <w:r w:rsidRPr="00996F2B">
        <w:rPr>
          <w:rStyle w:val="Strong"/>
          <w:sz w:val="26"/>
          <w:szCs w:val="26"/>
        </w:rPr>
        <w:t>Data Access Layer</w:t>
      </w:r>
      <w:r w:rsidRPr="00996F2B">
        <w:rPr>
          <w:sz w:val="26"/>
          <w:szCs w:val="26"/>
        </w:rPr>
        <w:t xml:space="preserve"> để thực hiện truy xuất, lưu trữ và quản lý dữ liệu; và </w:t>
      </w:r>
      <w:r w:rsidRPr="00996F2B">
        <w:rPr>
          <w:rStyle w:val="Strong"/>
          <w:sz w:val="26"/>
          <w:szCs w:val="26"/>
        </w:rPr>
        <w:t>Infrastructure</w:t>
      </w:r>
      <w:r w:rsidRPr="00996F2B">
        <w:rPr>
          <w:sz w:val="26"/>
          <w:szCs w:val="26"/>
        </w:rPr>
        <w:t xml:space="preserve"> để cung cấp các dịch vụ nền tảng như xác thực, bảo mật và kết nối cơ sở dữ liệu. Cách phân chia này giúp hệ thống có cấu trúc rõ ràng </w:t>
      </w:r>
      <w:proofErr w:type="gramStart"/>
      <w:r w:rsidRPr="00996F2B">
        <w:rPr>
          <w:sz w:val="26"/>
          <w:szCs w:val="26"/>
        </w:rPr>
        <w:t>theo</w:t>
      </w:r>
      <w:proofErr w:type="gramEnd"/>
      <w:r w:rsidRPr="00996F2B">
        <w:rPr>
          <w:sz w:val="26"/>
          <w:szCs w:val="26"/>
        </w:rPr>
        <w:t xml:space="preserve"> luồng xử lý kỹ thuật, dễ triển khai theo các mô hình phổ biến như MVC hoặc Layered Architecture, nhưng các mô-đun thường có mức độ phụ thuộc lẫn nhau cao hơn so với cách phân chia theo domain.</w:t>
      </w:r>
    </w:p>
    <w:p w:rsidR="001B29A2" w:rsidRDefault="001B29A2" w:rsidP="00996F2B">
      <w:pPr>
        <w:pStyle w:val="NormalWeb"/>
        <w:rPr>
          <w:b/>
          <w:sz w:val="36"/>
          <w:szCs w:val="36"/>
        </w:rPr>
      </w:pPr>
      <w:r w:rsidRPr="001B29A2">
        <w:rPr>
          <w:b/>
          <w:sz w:val="36"/>
          <w:szCs w:val="36"/>
        </w:rPr>
        <w:t>Câu 3: Bảng so sánh Domain Decomposition và Technical Partitioning</w:t>
      </w:r>
    </w:p>
    <w:tbl>
      <w:tblPr>
        <w:tblStyle w:val="TableGrid"/>
        <w:tblW w:w="0" w:type="auto"/>
        <w:tblLook w:val="04A0" w:firstRow="1" w:lastRow="0" w:firstColumn="1" w:lastColumn="0" w:noHBand="0" w:noVBand="1"/>
      </w:tblPr>
      <w:tblGrid>
        <w:gridCol w:w="3116"/>
        <w:gridCol w:w="3117"/>
        <w:gridCol w:w="3117"/>
      </w:tblGrid>
      <w:tr w:rsidR="001B29A2" w:rsidTr="00056727">
        <w:tc>
          <w:tcPr>
            <w:tcW w:w="3116" w:type="dxa"/>
            <w:vAlign w:val="center"/>
          </w:tcPr>
          <w:p w:rsidR="001B29A2" w:rsidRPr="001B29A2" w:rsidRDefault="001B29A2" w:rsidP="001B29A2">
            <w:pPr>
              <w:jc w:val="center"/>
              <w:rPr>
                <w:rFonts w:ascii="Times New Roman" w:hAnsi="Times New Roman" w:cs="Times New Roman"/>
                <w:b/>
                <w:bCs/>
                <w:sz w:val="24"/>
                <w:szCs w:val="24"/>
              </w:rPr>
            </w:pPr>
            <w:r w:rsidRPr="001B29A2">
              <w:rPr>
                <w:rStyle w:val="Strong"/>
                <w:rFonts w:ascii="Times New Roman" w:hAnsi="Times New Roman" w:cs="Times New Roman"/>
                <w:sz w:val="24"/>
                <w:szCs w:val="24"/>
              </w:rPr>
              <w:t>Tiêu chí so sánh</w:t>
            </w:r>
          </w:p>
        </w:tc>
        <w:tc>
          <w:tcPr>
            <w:tcW w:w="3117" w:type="dxa"/>
            <w:vAlign w:val="center"/>
          </w:tcPr>
          <w:p w:rsidR="001B29A2" w:rsidRPr="001B29A2" w:rsidRDefault="001B29A2" w:rsidP="001B29A2">
            <w:pPr>
              <w:jc w:val="center"/>
              <w:rPr>
                <w:rFonts w:ascii="Times New Roman" w:hAnsi="Times New Roman" w:cs="Times New Roman"/>
                <w:b/>
                <w:bCs/>
                <w:sz w:val="24"/>
                <w:szCs w:val="24"/>
              </w:rPr>
            </w:pPr>
            <w:r w:rsidRPr="001B29A2">
              <w:rPr>
                <w:rStyle w:val="Strong"/>
                <w:rFonts w:ascii="Times New Roman" w:hAnsi="Times New Roman" w:cs="Times New Roman"/>
                <w:sz w:val="24"/>
                <w:szCs w:val="24"/>
              </w:rPr>
              <w:t>Domain Decomposition</w:t>
            </w:r>
          </w:p>
        </w:tc>
        <w:tc>
          <w:tcPr>
            <w:tcW w:w="3117" w:type="dxa"/>
            <w:vAlign w:val="center"/>
          </w:tcPr>
          <w:p w:rsidR="001B29A2" w:rsidRPr="001B29A2" w:rsidRDefault="001B29A2" w:rsidP="001B29A2">
            <w:pPr>
              <w:jc w:val="center"/>
              <w:rPr>
                <w:rFonts w:ascii="Times New Roman" w:hAnsi="Times New Roman" w:cs="Times New Roman"/>
                <w:b/>
                <w:bCs/>
                <w:sz w:val="24"/>
                <w:szCs w:val="24"/>
              </w:rPr>
            </w:pPr>
            <w:r w:rsidRPr="001B29A2">
              <w:rPr>
                <w:rStyle w:val="Strong"/>
                <w:rFonts w:ascii="Times New Roman" w:hAnsi="Times New Roman" w:cs="Times New Roman"/>
                <w:sz w:val="24"/>
                <w:szCs w:val="24"/>
              </w:rPr>
              <w:t>Technical Partitioning</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t>Góc nhìn thiết kế</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Dựa trên nghiệp vụ và năng lực kinh doanh (business capabilities)</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Dựa trên các tầng kỹ thuật và vai trò triển khai</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t>Tiêu chí phân chia mô-đun</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Mỗi mô-đun tương ứng với một domain nghiệp vụ</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Mỗi mô-đun tương ứng với một tầng kỹ thuật</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lastRenderedPageBreak/>
              <w:t>Mức độ gắn kết (Cohesion)</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Cao, vì các chức năng trong mô-đun liên quan chặt chẽ về nghiệp vụ</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Thấp hơn, vì mô-đun chứa nhiều nghiệp vụ khác nhau</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t>Mức độ phụ thuộc (Coupling)</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Thấp, các mô-đun giao tiếp qua giao diện rõ ràng</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Cao hơn, các tầng kỹ thuật phụ thuộc lẫn nhau</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t>Khả năng mở rộng</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Dễ mở rộng theo chức năng nghiệp vụ mới</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Khó mở rộng nếu nghiệp vụ tăng nhanh</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t>Khả năng bảo trì</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Dễ bảo trì và thay đổi cục bộ</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Thay đổi thường ảnh hưởng nhiều tầng</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t>Mức độ phản ánh nghiệp vụ thực tế</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Cao, cấu trúc hệ thống gần với hoạt động thực tế</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Thấp hơn, cấu trúc thiên về triển khai</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t>Phù hợp với quy mô hệ thống</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Hệ thống trung bình đến lớn, nghiệp vụ phức tạp</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Hệ thống nhỏ đến trung bình</w:t>
            </w:r>
          </w:p>
        </w:tc>
      </w:tr>
      <w:tr w:rsidR="001B29A2" w:rsidTr="00056727">
        <w:tc>
          <w:tcPr>
            <w:tcW w:w="3116" w:type="dxa"/>
            <w:vAlign w:val="center"/>
          </w:tcPr>
          <w:p w:rsidR="001B29A2" w:rsidRPr="001B29A2" w:rsidRDefault="001B29A2" w:rsidP="001B29A2">
            <w:pPr>
              <w:rPr>
                <w:rFonts w:ascii="Times New Roman" w:hAnsi="Times New Roman" w:cs="Times New Roman"/>
                <w:sz w:val="24"/>
                <w:szCs w:val="24"/>
              </w:rPr>
            </w:pPr>
            <w:r w:rsidRPr="001B29A2">
              <w:rPr>
                <w:rStyle w:val="Strong"/>
                <w:rFonts w:ascii="Times New Roman" w:hAnsi="Times New Roman" w:cs="Times New Roman"/>
                <w:sz w:val="24"/>
                <w:szCs w:val="24"/>
              </w:rPr>
              <w:t>Phong cách kiến trúc phù hợp</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Domain-Driven Design, Microservices</w:t>
            </w:r>
          </w:p>
        </w:tc>
        <w:tc>
          <w:tcPr>
            <w:tcW w:w="3117" w:type="dxa"/>
            <w:vAlign w:val="center"/>
          </w:tcPr>
          <w:p w:rsidR="001B29A2" w:rsidRPr="001B29A2" w:rsidRDefault="001B29A2" w:rsidP="001B29A2">
            <w:pPr>
              <w:rPr>
                <w:rFonts w:ascii="Times New Roman" w:hAnsi="Times New Roman" w:cs="Times New Roman"/>
                <w:sz w:val="24"/>
                <w:szCs w:val="24"/>
              </w:rPr>
            </w:pPr>
            <w:r w:rsidRPr="001B29A2">
              <w:rPr>
                <w:rFonts w:ascii="Times New Roman" w:hAnsi="Times New Roman" w:cs="Times New Roman"/>
                <w:sz w:val="24"/>
                <w:szCs w:val="24"/>
              </w:rPr>
              <w:t>Layered Architecture, MVC</w:t>
            </w:r>
          </w:p>
        </w:tc>
      </w:tr>
    </w:tbl>
    <w:p w:rsidR="001B29A2" w:rsidRPr="001B29A2" w:rsidRDefault="001B29A2" w:rsidP="00996F2B">
      <w:pPr>
        <w:pStyle w:val="NormalWeb"/>
        <w:rPr>
          <w:b/>
          <w:sz w:val="36"/>
          <w:szCs w:val="36"/>
        </w:rPr>
      </w:pPr>
    </w:p>
    <w:p w:rsidR="001B29A2" w:rsidRDefault="001B29A2" w:rsidP="001B29A2">
      <w:pPr>
        <w:pStyle w:val="Heading2"/>
      </w:pPr>
      <w:r>
        <w:rPr>
          <w:rStyle w:val="Strong"/>
          <w:b/>
          <w:bCs/>
        </w:rPr>
        <w:t>Câu 4: Quyết định chọn kiến trúc mô-đun</w:t>
      </w:r>
    </w:p>
    <w:p w:rsidR="001B29A2" w:rsidRPr="001B29A2" w:rsidRDefault="001B29A2" w:rsidP="001B29A2">
      <w:pPr>
        <w:pStyle w:val="NormalWeb"/>
        <w:rPr>
          <w:sz w:val="26"/>
          <w:szCs w:val="26"/>
        </w:rPr>
      </w:pPr>
      <w:r w:rsidRPr="001B29A2">
        <w:rPr>
          <w:sz w:val="26"/>
          <w:szCs w:val="26"/>
        </w:rPr>
        <w:t xml:space="preserve">Dựa trên phân tích và so sánh giữa hai cách phân chia mô-đun, kiến trúc </w:t>
      </w:r>
      <w:r w:rsidRPr="001B29A2">
        <w:rPr>
          <w:rStyle w:val="Strong"/>
          <w:sz w:val="26"/>
          <w:szCs w:val="26"/>
        </w:rPr>
        <w:t>Domain Decomposition</w:t>
      </w:r>
      <w:r w:rsidRPr="001B29A2">
        <w:rPr>
          <w:sz w:val="26"/>
          <w:szCs w:val="26"/>
        </w:rPr>
        <w:t xml:space="preserve"> được lựa chọn cho hệ thống </w:t>
      </w:r>
      <w:r w:rsidRPr="001B29A2">
        <w:rPr>
          <w:rStyle w:val="Strong"/>
          <w:sz w:val="26"/>
          <w:szCs w:val="26"/>
        </w:rPr>
        <w:t>Course Management</w:t>
      </w:r>
      <w:r w:rsidRPr="001B29A2">
        <w:rPr>
          <w:sz w:val="26"/>
          <w:szCs w:val="26"/>
        </w:rPr>
        <w:t xml:space="preserve"> vì cách tiếp cận này cho phép tổ chức hệ thống xoay quanh các năng lực nghiệp vụ cốt lõi, từ đó tạo ra các mô-đun có mức độ gắn kết cao và mức độ phụ thuộc thấp. Việc phân chia </w:t>
      </w:r>
      <w:proofErr w:type="gramStart"/>
      <w:r w:rsidRPr="001B29A2">
        <w:rPr>
          <w:sz w:val="26"/>
          <w:szCs w:val="26"/>
        </w:rPr>
        <w:t>theo</w:t>
      </w:r>
      <w:proofErr w:type="gramEnd"/>
      <w:r w:rsidRPr="001B29A2">
        <w:rPr>
          <w:sz w:val="26"/>
          <w:szCs w:val="26"/>
        </w:rPr>
        <w:t xml:space="preserve"> domain giúp hệ thống phản ánh chính xác cấu trúc nghiệp vụ thực tế, hỗ trợ việc phát triển song song giữa các nhóm chức năng, đồng thời giảm tác động lan truyền khi thay đổi hoặc mở rộng một nghiệp vụ cụ thể. Trong bối cảnh hệ thống quản lý khóa học có khả năng mở rộng về số lượng chức năng và người dùng trong tương lai, Domain Decomposition đáp ứng tốt hơn các yêu cầu về bảo trì, mở rộng và tiến hóa kiến trúc so với cách phân chia theo Technical Partitioning.</w:t>
      </w:r>
    </w:p>
    <w:p w:rsidR="00655BE5" w:rsidRDefault="00655BE5"/>
    <w:sectPr w:rsidR="00655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2B"/>
    <w:rsid w:val="001B29A2"/>
    <w:rsid w:val="00655BE5"/>
    <w:rsid w:val="0099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DD921B-220B-44FF-9E6B-BF80E909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96F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6F2B"/>
    <w:rPr>
      <w:rFonts w:ascii="Times New Roman" w:eastAsia="Times New Roman" w:hAnsi="Times New Roman" w:cs="Times New Roman"/>
      <w:b/>
      <w:bCs/>
      <w:sz w:val="36"/>
      <w:szCs w:val="36"/>
    </w:rPr>
  </w:style>
  <w:style w:type="character" w:styleId="Strong">
    <w:name w:val="Strong"/>
    <w:basedOn w:val="DefaultParagraphFont"/>
    <w:uiPriority w:val="22"/>
    <w:qFormat/>
    <w:rsid w:val="00996F2B"/>
    <w:rPr>
      <w:b/>
      <w:bCs/>
    </w:rPr>
  </w:style>
  <w:style w:type="paragraph" w:styleId="NormalWeb">
    <w:name w:val="Normal (Web)"/>
    <w:basedOn w:val="Normal"/>
    <w:uiPriority w:val="99"/>
    <w:semiHidden/>
    <w:unhideWhenUsed/>
    <w:rsid w:val="00996F2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B2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5826756">
      <w:bodyDiv w:val="1"/>
      <w:marLeft w:val="0"/>
      <w:marRight w:val="0"/>
      <w:marTop w:val="0"/>
      <w:marBottom w:val="0"/>
      <w:divBdr>
        <w:top w:val="none" w:sz="0" w:space="0" w:color="auto"/>
        <w:left w:val="none" w:sz="0" w:space="0" w:color="auto"/>
        <w:bottom w:val="none" w:sz="0" w:space="0" w:color="auto"/>
        <w:right w:val="none" w:sz="0" w:space="0" w:color="auto"/>
      </w:divBdr>
    </w:div>
    <w:div w:id="643855322">
      <w:bodyDiv w:val="1"/>
      <w:marLeft w:val="0"/>
      <w:marRight w:val="0"/>
      <w:marTop w:val="0"/>
      <w:marBottom w:val="0"/>
      <w:divBdr>
        <w:top w:val="none" w:sz="0" w:space="0" w:color="auto"/>
        <w:left w:val="none" w:sz="0" w:space="0" w:color="auto"/>
        <w:bottom w:val="none" w:sz="0" w:space="0" w:color="auto"/>
        <w:right w:val="none" w:sz="0" w:space="0" w:color="auto"/>
      </w:divBdr>
    </w:div>
    <w:div w:id="688067780">
      <w:bodyDiv w:val="1"/>
      <w:marLeft w:val="0"/>
      <w:marRight w:val="0"/>
      <w:marTop w:val="0"/>
      <w:marBottom w:val="0"/>
      <w:divBdr>
        <w:top w:val="none" w:sz="0" w:space="0" w:color="auto"/>
        <w:left w:val="none" w:sz="0" w:space="0" w:color="auto"/>
        <w:bottom w:val="none" w:sz="0" w:space="0" w:color="auto"/>
        <w:right w:val="none" w:sz="0" w:space="0" w:color="auto"/>
      </w:divBdr>
    </w:div>
    <w:div w:id="138348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2026-01-19T11:51:00Z</dcterms:created>
  <dcterms:modified xsi:type="dcterms:W3CDTF">2026-01-19T12:16:00Z</dcterms:modified>
</cp:coreProperties>
</file>