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  <w:r>
              <w:rPr>
                <w:b w:val="true"/>
              </w:rPr>
              <w:t>TỔNG TIỀN THANH TOÁN:                            2,240,000 VNĐ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40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39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40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5                      2,800,000 VNĐ</w:t>
      </w:r>
    </w:p>
    <w:p>
      <w:pPr>
        <w:jc w:val="left"/>
      </w:pPr>
      <w:r>
        <w:rPr>
          <w:b w:val="true"/>
        </w:rPr>
        <w:t>CHIẾT KHẤU:                       20%                  -560,000 VNĐ</w:t>
      </w:r>
    </w:p>
    <w:p>
      <w:pPr>
        <w:jc w:val="left"/>
      </w:pP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760,000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2022-11-26T14:25:10Z</dcterms:created>
  <dc:creator>Apache POI</dc:creator>
</cp:coreProperties>
</file>