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26/11/2022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  <w:r>
              <w:rPr>
                <w:b w:val="true"/>
              </w:rPr>
              <w:t>TỔNG TIỀN THANH TOÁN:                            2,100,000 VNĐ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3</w:t>
            </w:r>
          </w:p>
        </w:tc>
        <w:tc>
          <w:p>
            <w:r>
              <w:t>700000 VNĐ</w:t>
            </w:r>
          </w:p>
        </w:tc>
        <w:tc>
          <w:p>
            <w:r>
              <w:t>2100000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3                      2,100,000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2500000 VNĐ</w:t>
      </w:r>
    </w:p>
    <w:p>
      <w:pPr>
        <w:jc w:val="left"/>
      </w:pPr>
      <w:r>
        <w:t>Tiền trả lại: 400,000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2022-11-26T14:30:05Z</dcterms:created>
  <dc:creator>Apache POI</dc:creator>
</cp:coreProperties>
</file>