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ShabaAutos Operating-Model Audit and Implementation Blueprint</w:t>
      </w:r>
    </w:p>
    <w:p>
      <w:pPr>
        <w:pStyle w:val="MdParagraph"/>
      </w:pPr>
      <w:r>
        <w:rPr>
          <w:rStyle w:val="MdStrong"/>
          <w:b/>
          <w:bCs/>
        </w:rPr>
        <w:t xml:space="preserve">Document status:</w:t>
      </w:r>
      <w:r>
        <w:t xml:space="preserve"> Final operating-model blueprint based on the supplied research synthesis.</w:t>
      </w:r>
      <w:r>
        <w:rPr>
          <w:rStyle w:val="MdBr"/>
        </w:rPr>
        <w:br/>
        <w:t xml:space="preserve"/>
      </w:r>
      <w:r>
        <w:rPr>
          <w:rStyle w:val="MdStrong"/>
          <w:b/>
          <w:bCs/>
        </w:rPr>
        <w:t xml:space="preserve">Audience:</w:t>
      </w:r>
      <w:r>
        <w:t xml:space="preserve"> Founders, product and engineering leads, operations, finance, compliance, and branch managers.</w:t>
      </w:r>
      <w:r>
        <w:rPr>
          <w:rStyle w:val="MdBr"/>
        </w:rPr>
        <w:br/>
        <w:t xml:space="preserve"/>
      </w:r>
      <w:r>
        <w:rPr>
          <w:rStyle w:val="MdStrong"/>
          <w:b/>
          <w:bCs/>
        </w:rPr>
        <w:t xml:space="preserve">Jurisdictional focus:</w:t>
      </w:r>
      <w:r>
        <w:t xml:space="preserve"> Nigeria, with configurable controls for import lanes and other markets.</w:t>
      </w:r>
      <w:r>
        <w:rPr>
          <w:rStyle w:val="MdBr"/>
        </w:rPr>
        <w:br/>
        <w:t xml:space="preserve"/>
      </w:r>
      <w:r>
        <w:rPr>
          <w:rStyle w:val="MdStrong"/>
          <w:b/>
          <w:bCs/>
        </w:rPr>
        <w:t xml:space="preserve">Important limitation:</w:t>
      </w:r>
      <w:r>
        <w:t xml:space="preserve"> This is an operating design, not legal advice. Nigerian counsel, the selected payment service provider (PSP), insurers, accountants, customs brokers, and relevant authorities must confirm the legal conclusions before launch.</w:t>
      </w:r>
    </w:p>
    <w:p>
      <w:pPr>
        <w:pStyle w:val="MdSpace"/>
        <w:spacing w:before="0" w:after="60"/>
      </w:pPr>
    </w:p>
    <w:p>
      <w:pPr>
        <w:pStyle w:val="Heading2"/>
        <w:pStyle w:val="MdHeading2"/>
      </w:pPr>
      <w:r>
        <w:t xml:space="preserve">1. Executive conclusion</w:t>
      </w:r>
    </w:p>
    <w:p>
      <w:pPr>
        <w:pStyle w:val="MdParagraph"/>
      </w:pPr>
      <w:r>
        <w:t xml:space="preserve">ShabaAutos should operate as a </w:t>
      </w:r>
      <w:r>
        <w:rPr>
          <w:rStyle w:val="MdStrong"/>
          <w:b/>
          <w:bCs/>
        </w:rPr>
        <w:t xml:space="preserve">controlled, evidence-led automotive marketplace and operations platform</w:t>
      </w:r>
      <w:r>
        <w:t xml:space="preserve">, not as a collection of loosely connected listing, rental, payment, and support screens. The core design decision is to make every customer, vehicle, booking, transaction, shipment, and support case a versioned operational case with an accountable owner, a next action, a due time, policy version, evidence, and immutable event history.</w:t>
      </w:r>
    </w:p>
    <w:p>
      <w:pPr>
        <w:pStyle w:val="MdSpace"/>
        <w:spacing w:before="0" w:after="60"/>
      </w:pPr>
    </w:p>
    <w:p>
      <w:pPr>
        <w:pStyle w:val="MdParagraph"/>
      </w:pPr>
      <w:r>
        <w:t xml:space="preserve">The minimum viable operating model has five control properties:</w:t>
      </w:r>
    </w:p>
    <w:p>
      <w:pPr>
        <w:pStyle w:val="MdSpace"/>
        <w:spacing w:before="0" w:after="60"/>
      </w:pPr>
    </w:p>
    <w:p>
      <w:pPr>
        <w:pStyle w:val="MdListItem"/>
        <w:numPr>
          <w:ilvl w:val="0"/>
          <w:numId w:val="2"/>
        </w:numPr>
      </w:pPr>
      <w:r>
        <w:rPr>
          <w:rStyle w:val="MdStrong"/>
          <w:b/>
          <w:bCs/>
        </w:rPr>
        <w:t xml:space="preserve">Single source of truth for inventory.</w:t>
      </w:r>
      <w:r>
        <w:t xml:space="preserve"> A vehicle has one canonical identity, lifecycle state, location, ownership evidence, inspection history, availability calendar, and commercial status. Atomic holds prevent double-selling and double-booking.</w:t>
      </w:r>
    </w:p>
    <w:p>
      <w:pPr>
        <w:pStyle w:val="MdListItem"/>
        <w:numPr>
          <w:ilvl w:val="0"/>
          <w:numId w:val="2"/>
        </w:numPr>
      </w:pPr>
      <w:r>
        <w:rPr>
          <w:rStyle w:val="MdStrong"/>
          <w:b/>
          <w:bCs/>
        </w:rPr>
        <w:t xml:space="preserve">Server-side, object-level authorization.</w:t>
      </w:r>
      <w:r>
        <w:t xml:space="preserve"> RBAC assigns users to roles, while attributes such as branch, owner, workflow state, business unit, data classification, and maker/checker status constrain access. Authorization is deny-by-default and is evaluated on every API, download, bulk action, and background job. This follows the researched NIST and OWASP control direction. </w:t>
      </w:r>
      <w:hyperlink w:history="1" r:id="rIdxakulsnl3inwxkzoaceo_">
        <w:r>
          <w:rPr>
            <w:rStyle w:val="MdLink"/>
          </w:rPr>
          <w:t xml:space="preserve">1</w:t>
        </w:r>
      </w:hyperlink>
      <w:r>
        <w:t xml:space="preserve"> </w:t>
      </w:r>
      <w:hyperlink w:history="1" r:id="rIdy0yiml8ryhlqwiuyct16-">
        <w:r>
          <w:rPr>
            <w:rStyle w:val="MdLink"/>
          </w:rPr>
          <w:t xml:space="preserve">3</w:t>
        </w:r>
      </w:hyperlink>
      <w:r>
        <w:t xml:space="preserve"> </w:t>
      </w:r>
      <w:hyperlink w:history="1" r:id="rIdqng4aqj_rtvke-km4s8qa">
        <w:r>
          <w:rPr>
            <w:rStyle w:val="MdLink"/>
          </w:rPr>
          <w:t xml:space="preserve">4</w:t>
        </w:r>
      </w:hyperlink>
    </w:p>
    <w:p>
      <w:pPr>
        <w:pStyle w:val="MdListItem"/>
        <w:numPr>
          <w:ilvl w:val="0"/>
          <w:numId w:val="2"/>
        </w:numPr>
      </w:pPr>
      <w:r>
        <w:rPr>
          <w:rStyle w:val="MdStrong"/>
          <w:b/>
          <w:bCs/>
        </w:rPr>
        <w:t xml:space="preserve">Safety and compliance before monetization.</w:t>
      </w:r>
      <w:r>
        <w:t xml:space="preserve"> Missing ownership evidence, unresolved title or lien conflicts, unsafe inspection results, recalled vehicles, failed driver verification, and missing import-conformity evidence block publication, reservation, release, or trip start until an approved exception exists.</w:t>
      </w:r>
    </w:p>
    <w:p>
      <w:pPr>
        <w:pStyle w:val="MdListItem"/>
        <w:numPr>
          <w:ilvl w:val="0"/>
          <w:numId w:val="2"/>
        </w:numPr>
      </w:pPr>
      <w:r>
        <w:rPr>
          <w:rStyle w:val="MdStrong"/>
          <w:b/>
          <w:bCs/>
        </w:rPr>
        <w:t xml:space="preserve">Separated commercial and financial authority.</w:t>
      </w:r>
      <w:r>
        <w:t xml:space="preserve"> No person should create and materially alter a record and approve the consequential payment, refund, vehicle release, title exception, or high-risk discount. Finance prepares and reconciles; an independent approver releases.</w:t>
      </w:r>
    </w:p>
    <w:p>
      <w:pPr>
        <w:pStyle w:val="MdListItem"/>
        <w:numPr>
          <w:ilvl w:val="0"/>
          <w:numId w:val="2"/>
        </w:numPr>
      </w:pPr>
      <w:r>
        <w:rPr>
          <w:rStyle w:val="MdStrong"/>
          <w:b/>
          <w:bCs/>
        </w:rPr>
        <w:t xml:space="preserve">Event-driven, auditable communication.</w:t>
      </w:r>
      <w:r>
        <w:t xml:space="preserve"> Business changes write a transactional outbox record, notifications are created idempotently, channel delivery is observable, and the in-app inbox is the durable source of truth. Provider acceptance is not treated as proof of human delivery.</w:t>
      </w:r>
    </w:p>
    <w:p>
      <w:pPr>
        <w:pStyle w:val="MdSpace"/>
        <w:spacing w:before="0" w:after="60"/>
      </w:pPr>
    </w:p>
    <w:p>
      <w:pPr>
        <w:pStyle w:val="MdParagraph"/>
      </w:pPr>
      <w:r>
        <w:t xml:space="preserve">The recommended launch sequence is a one-branch pilot containing one complete buy/sell path, one rental path, and one import lane. The pilot should prove evidence quality, role isolation, payment reconciliation, queue ownership, customer policy disclosure, and exception handling before geographic or product expansion.</w:t>
      </w:r>
    </w:p>
    <w:p>
      <w:pPr>
        <w:pStyle w:val="MdSpace"/>
        <w:spacing w:before="0" w:after="60"/>
      </w:pPr>
    </w:p>
    <w:p>
      <w:pPr>
        <w:pStyle w:val="MdBlockquote"/>
      </w:pPr>
      <w:r>
        <w:rPr>
          <w:rStyle w:val="MdStrong"/>
          <w:b/>
          <w:bCs/>
        </w:rPr>
        <w:t xml:space="preserve">Operating thesis:</w:t>
      </w:r>
      <w:r>
        <w:t xml:space="preserve"> ShabaAutos earns trust by making the provenance of every vehicle, decision, payment, approval, and customer communication inspectable without making sensitive data broadly visible.</w:t>
      </w:r>
    </w:p>
    <w:p>
      <w:pPr>
        <w:pStyle w:val="MdSpace"/>
        <w:spacing w:before="0" w:after="60"/>
      </w:pPr>
    </w:p>
    <w:p>
      <w:pPr>
        <w:pStyle w:val="Heading2"/>
        <w:pStyle w:val="MdHeading2"/>
      </w:pPr>
      <w:r>
        <w:t xml:space="preserve">2. How to read this blueprint</w:t>
      </w:r>
    </w:p>
    <w:p>
      <w:pPr>
        <w:pStyle w:val="MdParagraph"/>
      </w:pPr>
      <w:r>
        <w:t xml:space="preserve">The report separates </w:t>
      </w:r>
      <w:r>
        <w:rPr>
          <w:rStyle w:val="MdStrong"/>
          <w:b/>
          <w:bCs/>
        </w:rPr>
        <w:t xml:space="preserve">researched requirements</w:t>
      </w:r>
      <w:r>
        <w:t xml:space="preserve"> from </w:t>
      </w:r>
      <w:r>
        <w:rPr>
          <w:rStyle w:val="MdStrong"/>
          <w:b/>
          <w:bCs/>
        </w:rPr>
        <w:t xml:space="preserve">recommendations</w:t>
      </w:r>
      <w:r>
        <w:t xml:space="preserve"> and </w:t>
      </w:r>
      <w:r>
        <w:rPr>
          <w:rStyle w:val="MdStrong"/>
          <w:b/>
          <w:bCs/>
        </w:rPr>
        <w:t xml:space="preserve">legal decisions requiring confirmation</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Label</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[RESEARCHED REQUIREMENT]</w:t>
            </w:r>
          </w:p>
        </w:tc>
        <w:tc>
          <w:tcPr>
            <w:tcBorders>
              <w:right w:val="none"/>
            </w:tcBorders>
            <w:tcMar>
              <w:top w:type="dxa" w:w="80"/>
              <w:left w:type="dxa" w:w="120"/>
              <w:bottom w:type="dxa" w:w="80"/>
              <w:right w:type="dxa" w:w="120"/>
            </w:tcMar>
            <w:vAlign w:val="center"/>
          </w:tcPr>
          <w:p>
            <w:pPr>
              <w:pStyle w:val="MdTableCell"/>
            </w:pPr>
            <w:r>
              <w:t xml:space="preserve">A control or operating fact supported by the supplied research and source citations. It should be treated as a baseline design input.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[RECOMMENDATION]</w:t>
            </w:r>
          </w:p>
        </w:tc>
        <w:tc>
          <w:tcPr>
            <w:tcBorders>
              <w:right w:val="none"/>
            </w:tcBorders>
            <w:tcMar>
              <w:top w:type="dxa" w:w="80"/>
              <w:left w:type="dxa" w:w="120"/>
              <w:bottom w:type="dxa" w:w="80"/>
              <w:right w:type="dxa" w:w="120"/>
            </w:tcMar>
            <w:vAlign w:val="center"/>
          </w:tcPr>
          <w:p>
            <w:pPr>
              <w:pStyle w:val="MdTableCell"/>
            </w:pPr>
            <w:r>
              <w:t xml:space="preserve">A ShabaAutos design choice proposed to make the model implementable, measurable, and safer. It can be changed by an accountable business owner.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[LEGAL—CONFIRM]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jurisdictional, licensing, contractual, or regulatory conclusion that must be confirmed by Nigerian counsel, a PSP, an insurer, or a competent authority before launch.</w:t>
            </w:r>
          </w:p>
        </w:tc>
      </w:tr>
    </w:tbl>
    <w:p>
      <w:pPr>
        <w:pStyle w:val="Heading2"/>
        <w:pStyle w:val="MdHeading2"/>
      </w:pPr>
      <w:r>
        <w:t xml:space="preserve">3. Assumptions and scope</w:t>
      </w:r>
    </w:p>
    <w:p>
      <w:pPr>
        <w:pStyle w:val="Heading3"/>
        <w:pStyle w:val="MdHeading3"/>
      </w:pPr>
      <w:r>
        <w:t xml:space="preserve">3.1 Assumptions</w:t>
      </w:r>
    </w:p>
    <w:p>
      <w:pPr>
        <w:pStyle w:val="MdParagraph"/>
      </w:pPr>
      <w:r>
        <w:t xml:space="preserve">ShabaAutos is assumed to support at least four related products: vehicle sales, customer vehicle acquisition or “sell your car,” rentals, and vehicle imports. It may operate through branches, partner operators, inspection vendors, carriers, customs brokers, and payment providers. The platform is assumed to have both customer-facing and staff-facing experiences, and to process personal, identity, vehicle, payment-event, location, and support data.</w:t>
      </w:r>
    </w:p>
    <w:p>
      <w:pPr>
        <w:pStyle w:val="MdSpace"/>
        <w:spacing w:before="0" w:after="60"/>
      </w:pPr>
    </w:p>
    <w:p>
      <w:pPr>
        <w:pStyle w:val="MdParagraph"/>
      </w:pPr>
      <w:r>
        <w:t xml:space="preserve">The operating model assumes that ShabaAutos may be a marketplace, merchant, facilitator, or a combination depending on the product. That distinction is material. A platform must not describe itself as a bank, wallet, or escrow service, or pool and release customer funds, until counsel and the selected PSP confirm the structure and responsibilities.</w:t>
      </w:r>
    </w:p>
    <w:p>
      <w:pPr>
        <w:pStyle w:val="MdSpace"/>
        <w:spacing w:before="0" w:after="60"/>
      </w:pPr>
    </w:p>
    <w:p>
      <w:pPr>
        <w:pStyle w:val="MdParagraph"/>
      </w:pPr>
      <w:r>
        <w:t xml:space="preserve">The supplied research includes examples from other markets and companies. Those examples are </w:t>
      </w:r>
      <w:r>
        <w:rPr>
          <w:rStyle w:val="MdStrong"/>
          <w:b/>
          <w:bCs/>
        </w:rPr>
        <w:t xml:space="preserve">operating patterns, not Nigerian legal requirements</w:t>
      </w:r>
      <w:r>
        <w:t xml:space="preserve">. Public policies can change and may not apply to the same product, vehicle class, or jurisdiction.</w:t>
      </w:r>
    </w:p>
    <w:p>
      <w:pPr>
        <w:pStyle w:val="MdSpace"/>
        <w:spacing w:before="0" w:after="60"/>
      </w:pPr>
    </w:p>
    <w:p>
      <w:pPr>
        <w:pStyle w:val="Heading3"/>
        <w:pStyle w:val="MdHeading3"/>
      </w:pPr>
      <w:r>
        <w:t xml:space="preserve">3.2 In scope</w:t>
      </w:r>
    </w:p>
    <w:p>
      <w:pPr>
        <w:pStyle w:val="MdParagraph"/>
      </w:pPr>
      <w:r>
        <w:t xml:space="preserve">This blueprint covers organizational design; RBAC; maker-checker and segregation of duties; vehicle, listing, acquisition, rental, import, sale, delivery, return, support, and notification workflows; data and audit architecture; Nigerian privacy, consumer, payment, and vehicle-evidence controls; security; dashboards; implementation phases; acceptance criteria; and open decisions.</w:t>
      </w:r>
    </w:p>
    <w:p>
      <w:pPr>
        <w:pStyle w:val="MdSpace"/>
        <w:spacing w:before="0" w:after="60"/>
      </w:pPr>
    </w:p>
    <w:p>
      <w:pPr>
        <w:pStyle w:val="Heading3"/>
        <w:pStyle w:val="MdHeading3"/>
      </w:pPr>
      <w:r>
        <w:t xml:space="preserve">3.3 Out of scope</w:t>
      </w:r>
    </w:p>
    <w:p>
      <w:pPr>
        <w:pStyle w:val="MdParagraph"/>
      </w:pPr>
      <w:r>
        <w:t xml:space="preserve">This blueprint does not select a specific PSP, insurer, customs broker, KYC provider, CRM, cloud platform, accounting package, or messaging vendor. It does not provide a legal opinion on licensing, escrow, taxes, title transfer, import admissibility, insurance coverage, retention periods, or consumer cancellation rights. It does not prescribe a final Nigerian naira threshold without business-volume and counsel review.</w:t>
      </w:r>
    </w:p>
    <w:p>
      <w:pPr>
        <w:pStyle w:val="MdSpace"/>
        <w:spacing w:before="0" w:after="60"/>
      </w:pPr>
    </w:p>
    <w:p>
      <w:pPr>
        <w:pStyle w:val="Heading2"/>
        <w:pStyle w:val="MdHeading2"/>
      </w:pPr>
      <w:r>
        <w:t xml:space="preserve">4. Recommended operating structure</w:t>
      </w:r>
    </w:p>
    <w:p>
      <w:pPr>
        <w:pStyle w:val="Heading3"/>
        <w:pStyle w:val="MdHeading3"/>
      </w:pPr>
      <w:r>
        <w:t xml:space="preserve">4.1 Organization design</w:t>
      </w:r>
    </w:p>
    <w:p>
      <w:pPr>
        <w:pStyle w:val="MdParagraph"/>
      </w:pPr>
      <w:r>
        <w:t xml:space="preserve">The recommended structure is a </w:t>
      </w:r>
      <w:r>
        <w:rPr>
          <w:rStyle w:val="MdStrong"/>
          <w:b/>
          <w:bCs/>
        </w:rPr>
        <w:t xml:space="preserve">central control spine with branch execution</w:t>
      </w:r>
      <w:r>
        <w:t xml:space="preserve">. Branches and partners execute customer and vehicle operations. Central control functions own policy, risk, finance, security, compliance, and cross-branch standards.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Function</w:t>
            </w:r>
          </w:p>
        </w:tc>
        <w:tc>
          <w:tcPr>
            <w:tcMar>
              <w:top w:type="dxa" w:w="100"/>
              <w:left w:type="dxa" w:w="120"/>
              <w:bottom w:type="dxa" w:w="100"/>
              <w:right w:type="dxa" w:w="120"/>
            </w:tcMar>
            <w:vAlign w:val="center"/>
          </w:tcPr>
          <w:p>
            <w:pPr>
              <w:pStyle w:val="MdTableHeader"/>
            </w:pPr>
            <w:r>
              <w:t xml:space="preserve">Primary accountability</w:t>
            </w:r>
          </w:p>
        </w:tc>
        <w:tc>
          <w:tcPr>
            <w:tcMar>
              <w:top w:type="dxa" w:w="100"/>
              <w:left w:type="dxa" w:w="120"/>
              <w:bottom w:type="dxa" w:w="100"/>
              <w:right w:type="dxa" w:w="120"/>
            </w:tcMar>
            <w:vAlign w:val="center"/>
          </w:tcPr>
          <w:p>
            <w:pPr>
              <w:pStyle w:val="MdTableHeader"/>
            </w:pPr>
            <w:r>
              <w:t xml:space="preserve">Key decision rights</w:t>
            </w:r>
          </w:p>
        </w:tc>
        <w:tc>
          <w:tcPr>
            <w:tcBorders>
              <w:right w:val="none"/>
            </w:tcBorders>
            <w:tcMar>
              <w:top w:type="dxa" w:w="100"/>
              <w:left w:type="dxa" w:w="120"/>
              <w:bottom w:type="dxa" w:w="100"/>
              <w:right w:type="dxa" w:w="120"/>
            </w:tcMar>
            <w:vAlign w:val="center"/>
          </w:tcPr>
          <w:p>
            <w:pPr>
              <w:pStyle w:val="MdTableHeader"/>
            </w:pPr>
            <w:r>
              <w:t xml:space="preserve">Must not be combined with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Executive/owner review</w:t>
            </w:r>
          </w:p>
        </w:tc>
        <w:tc>
          <w:tcPr>
            <w:tcMar>
              <w:top w:type="dxa" w:w="80"/>
              <w:left w:type="dxa" w:w="120"/>
              <w:bottom w:type="dxa" w:w="80"/>
              <w:right w:type="dxa" w:w="120"/>
            </w:tcMar>
            <w:vAlign w:val="center"/>
          </w:tcPr>
          <w:p>
            <w:pPr>
              <w:pStyle w:val="MdTableCell"/>
            </w:pPr>
            <w:r>
              <w:t xml:space="preserve">Strategy, related-party transactions, exceptional risk, high-value approvals</w:t>
            </w:r>
          </w:p>
        </w:tc>
        <w:tc>
          <w:tcPr>
            <w:tcMar>
              <w:top w:type="dxa" w:w="80"/>
              <w:left w:type="dxa" w:w="120"/>
              <w:bottom w:type="dxa" w:w="80"/>
              <w:right w:type="dxa" w:w="120"/>
            </w:tcMar>
            <w:vAlign w:val="center"/>
          </w:tcPr>
          <w:p>
            <w:pPr>
              <w:pStyle w:val="MdTableCell"/>
            </w:pPr>
            <w:r>
              <w:t xml:space="preserve">Approves policy exceptions above delegated limits and unresolved ownership/title exceptions</w:t>
            </w:r>
          </w:p>
        </w:tc>
        <w:tc>
          <w:tcPr>
            <w:tcBorders>
              <w:right w:val="none"/>
            </w:tcBorders>
            <w:tcMar>
              <w:top w:type="dxa" w:w="80"/>
              <w:left w:type="dxa" w:w="120"/>
              <w:bottom w:type="dxa" w:w="80"/>
              <w:right w:type="dxa" w:w="120"/>
            </w:tcMar>
            <w:vAlign w:val="center"/>
          </w:tcPr>
          <w:p>
            <w:pPr>
              <w:pStyle w:val="MdTableCell"/>
            </w:pPr>
            <w:r>
              <w:t xml:space="preserve">Day-to-day record creation, audit-log administration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Operations management</w:t>
            </w:r>
          </w:p>
        </w:tc>
        <w:tc>
          <w:tcPr>
            <w:tcMar>
              <w:top w:type="dxa" w:w="80"/>
              <w:left w:type="dxa" w:w="120"/>
              <w:bottom w:type="dxa" w:w="80"/>
              <w:right w:type="dxa" w:w="120"/>
            </w:tcMar>
            <w:vAlign w:val="center"/>
          </w:tcPr>
          <w:p>
            <w:pPr>
              <w:pStyle w:val="MdTableCell"/>
            </w:pPr>
            <w:r>
              <w:t xml:space="preserve">Branch performance, queues, inventory movement, rental and delivery exceptions</w:t>
            </w:r>
          </w:p>
        </w:tc>
        <w:tc>
          <w:tcPr>
            <w:tcMar>
              <w:top w:type="dxa" w:w="80"/>
              <w:left w:type="dxa" w:w="120"/>
              <w:bottom w:type="dxa" w:w="80"/>
              <w:right w:type="dxa" w:w="120"/>
            </w:tcMar>
            <w:vAlign w:val="center"/>
          </w:tcPr>
          <w:p>
            <w:pPr>
              <w:pStyle w:val="MdTableCell"/>
            </w:pPr>
            <w:r>
              <w:t xml:space="preserve">Publishes listings, approves operational exceptions and transfers within limits</w:t>
            </w:r>
          </w:p>
        </w:tc>
        <w:tc>
          <w:tcPr>
            <w:tcBorders>
              <w:right w:val="none"/>
            </w:tcBorders>
            <w:tcMar>
              <w:top w:type="dxa" w:w="80"/>
              <w:left w:type="dxa" w:w="120"/>
              <w:bottom w:type="dxa" w:w="80"/>
              <w:right w:type="dxa" w:w="120"/>
            </w:tcMar>
            <w:vAlign w:val="center"/>
          </w:tcPr>
          <w:p>
            <w:pPr>
              <w:pStyle w:val="MdTableCell"/>
            </w:pPr>
            <w:r>
              <w:t xml:space="preserve">Finance release, own transaction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Inventory and acquisition</w:t>
            </w:r>
          </w:p>
        </w:tc>
        <w:tc>
          <w:tcPr>
            <w:tcMar>
              <w:top w:type="dxa" w:w="80"/>
              <w:left w:type="dxa" w:w="120"/>
              <w:bottom w:type="dxa" w:w="80"/>
              <w:right w:type="dxa" w:w="120"/>
            </w:tcMar>
            <w:vAlign w:val="center"/>
          </w:tcPr>
          <w:p>
            <w:pPr>
              <w:pStyle w:val="MdTableCell"/>
            </w:pPr>
            <w:r>
              <w:t xml:space="preserve">Intake, custody, vehicle identity, location, documents, chain of custody</w:t>
            </w:r>
          </w:p>
        </w:tc>
        <w:tc>
          <w:tcPr>
            <w:tcMar>
              <w:top w:type="dxa" w:w="80"/>
              <w:left w:type="dxa" w:w="120"/>
              <w:bottom w:type="dxa" w:w="80"/>
              <w:right w:type="dxa" w:w="120"/>
            </w:tcMar>
            <w:vAlign w:val="center"/>
          </w:tcPr>
          <w:p>
            <w:pPr>
              <w:pStyle w:val="MdTableCell"/>
            </w:pPr>
            <w:r>
              <w:t xml:space="preserve">Creates acquisition and transfer requests; attests receipt/count</w:t>
            </w:r>
          </w:p>
        </w:tc>
        <w:tc>
          <w:tcPr>
            <w:tcBorders>
              <w:right w:val="none"/>
            </w:tcBorders>
            <w:tcMar>
              <w:top w:type="dxa" w:w="80"/>
              <w:left w:type="dxa" w:w="120"/>
              <w:bottom w:type="dxa" w:w="80"/>
              <w:right w:type="dxa" w:w="120"/>
            </w:tcMar>
            <w:vAlign w:val="center"/>
          </w:tcPr>
          <w:p>
            <w:pPr>
              <w:pStyle w:val="MdTableCell"/>
            </w:pPr>
            <w:r>
              <w:t xml:space="preserve">Settlement approval, listing publication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Inspection and quality</w:t>
            </w:r>
          </w:p>
        </w:tc>
        <w:tc>
          <w:tcPr>
            <w:tcMar>
              <w:top w:type="dxa" w:w="80"/>
              <w:left w:type="dxa" w:w="120"/>
              <w:bottom w:type="dxa" w:w="80"/>
              <w:right w:type="dxa" w:w="120"/>
            </w:tcMar>
            <w:vAlign w:val="center"/>
          </w:tcPr>
          <w:p>
            <w:pPr>
              <w:pStyle w:val="MdTableCell"/>
            </w:pPr>
            <w:r>
              <w:t xml:space="preserve">Standardized condition, safety, diagnostic, photo and mileage evidence</w:t>
            </w:r>
          </w:p>
        </w:tc>
        <w:tc>
          <w:tcPr>
            <w:tcMar>
              <w:top w:type="dxa" w:w="80"/>
              <w:left w:type="dxa" w:w="120"/>
              <w:bottom w:type="dxa" w:w="80"/>
              <w:right w:type="dxa" w:w="120"/>
            </w:tcMar>
            <w:vAlign w:val="center"/>
          </w:tcPr>
          <w:p>
            <w:pPr>
              <w:pStyle w:val="MdTableCell"/>
            </w:pPr>
            <w:r>
              <w:t xml:space="preserve">Submits immutable inspection versions and pass/fail recommendation</w:t>
            </w:r>
          </w:p>
        </w:tc>
        <w:tc>
          <w:tcPr>
            <w:tcBorders>
              <w:right w:val="none"/>
            </w:tcBorders>
            <w:tcMar>
              <w:top w:type="dxa" w:w="80"/>
              <w:left w:type="dxa" w:w="120"/>
              <w:bottom w:type="dxa" w:w="80"/>
              <w:right w:type="dxa" w:w="120"/>
            </w:tcMar>
            <w:vAlign w:val="center"/>
          </w:tcPr>
          <w:p>
            <w:pPr>
              <w:pStyle w:val="MdTableCell"/>
            </w:pPr>
            <w:r>
              <w:t xml:space="preserve">Listing publication, price approval, financial adjustment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Sales and customer acquisition</w:t>
            </w:r>
          </w:p>
        </w:tc>
        <w:tc>
          <w:tcPr>
            <w:tcMar>
              <w:top w:type="dxa" w:w="80"/>
              <w:left w:type="dxa" w:w="120"/>
              <w:bottom w:type="dxa" w:w="80"/>
              <w:right w:type="dxa" w:w="120"/>
            </w:tcMar>
            <w:vAlign w:val="center"/>
          </w:tcPr>
          <w:p>
            <w:pPr>
              <w:pStyle w:val="MdTableCell"/>
            </w:pPr>
            <w:r>
              <w:t xml:space="preserve">Leads, qualification, appointments, quotes and commercial negotiation</w:t>
            </w:r>
          </w:p>
        </w:tc>
        <w:tc>
          <w:tcPr>
            <w:tcMar>
              <w:top w:type="dxa" w:w="80"/>
              <w:left w:type="dxa" w:w="120"/>
              <w:bottom w:type="dxa" w:w="80"/>
              <w:right w:type="dxa" w:w="120"/>
            </w:tcMar>
            <w:vAlign w:val="center"/>
          </w:tcPr>
          <w:p>
            <w:pPr>
              <w:pStyle w:val="MdTableCell"/>
            </w:pPr>
            <w:r>
              <w:t xml:space="preserve">Creates deal drafts and recommends discounts</w:t>
            </w:r>
          </w:p>
        </w:tc>
        <w:tc>
          <w:tcPr>
            <w:tcBorders>
              <w:right w:val="none"/>
            </w:tcBorders>
            <w:tcMar>
              <w:top w:type="dxa" w:w="80"/>
              <w:left w:type="dxa" w:w="120"/>
              <w:bottom w:type="dxa" w:w="80"/>
              <w:right w:type="dxa" w:w="120"/>
            </w:tcMar>
            <w:vAlign w:val="center"/>
          </w:tcPr>
          <w:p>
            <w:pPr>
              <w:pStyle w:val="MdTableCell"/>
            </w:pPr>
            <w:r>
              <w:t xml:space="preserve">Final sale approval, payment release, title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Rental operations</w:t>
            </w:r>
          </w:p>
        </w:tc>
        <w:tc>
          <w:tcPr>
            <w:tcMar>
              <w:top w:type="dxa" w:w="80"/>
              <w:left w:type="dxa" w:w="120"/>
              <w:bottom w:type="dxa" w:w="80"/>
              <w:right w:type="dxa" w:w="120"/>
            </w:tcMar>
            <w:vAlign w:val="center"/>
          </w:tcPr>
          <w:p>
            <w:pPr>
              <w:pStyle w:val="MdTableCell"/>
            </w:pPr>
            <w:r>
              <w:t xml:space="preserve">Availability, booking, check-in/out, incidents, trip support</w:t>
            </w:r>
          </w:p>
        </w:tc>
        <w:tc>
          <w:tcPr>
            <w:tcMar>
              <w:top w:type="dxa" w:w="80"/>
              <w:left w:type="dxa" w:w="120"/>
              <w:bottom w:type="dxa" w:w="80"/>
              <w:right w:type="dxa" w:w="120"/>
            </w:tcMar>
            <w:vAlign w:val="center"/>
          </w:tcPr>
          <w:p>
            <w:pPr>
              <w:pStyle w:val="MdTableCell"/>
            </w:pPr>
            <w:r>
              <w:t xml:space="preserve">Confirms routine bookings/extensions within policy</w:t>
            </w:r>
          </w:p>
        </w:tc>
        <w:tc>
          <w:tcPr>
            <w:tcBorders>
              <w:right w:val="none"/>
            </w:tcBorders>
            <w:tcMar>
              <w:top w:type="dxa" w:w="80"/>
              <w:left w:type="dxa" w:w="120"/>
              <w:bottom w:type="dxa" w:w="80"/>
              <w:right w:type="dxa" w:w="120"/>
            </w:tcMar>
            <w:vAlign w:val="center"/>
          </w:tcPr>
          <w:p>
            <w:pPr>
              <w:pStyle w:val="MdTableCell"/>
            </w:pPr>
            <w:r>
              <w:t xml:space="preserve">Own damage settlement/refund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Import and logistics</w:t>
            </w:r>
          </w:p>
        </w:tc>
        <w:tc>
          <w:tcPr>
            <w:tcMar>
              <w:top w:type="dxa" w:w="80"/>
              <w:left w:type="dxa" w:w="120"/>
              <w:bottom w:type="dxa" w:w="80"/>
              <w:right w:type="dxa" w:w="120"/>
            </w:tcMar>
            <w:vAlign w:val="center"/>
          </w:tcPr>
          <w:p>
            <w:pPr>
              <w:pStyle w:val="MdTableCell"/>
            </w:pPr>
            <w:r>
              <w:t xml:space="preserve">Eligibility, document pack, booking, customs and delivery milestones</w:t>
            </w:r>
          </w:p>
        </w:tc>
        <w:tc>
          <w:tcPr>
            <w:tcMar>
              <w:top w:type="dxa" w:w="80"/>
              <w:left w:type="dxa" w:w="120"/>
              <w:bottom w:type="dxa" w:w="80"/>
              <w:right w:type="dxa" w:w="120"/>
            </w:tcMar>
            <w:vAlign w:val="center"/>
          </w:tcPr>
          <w:p>
            <w:pPr>
              <w:pStyle w:val="MdTableCell"/>
            </w:pPr>
            <w:r>
              <w:t xml:space="preserve">Maintains shipment case and escalates holds/change orders</w:t>
            </w:r>
          </w:p>
        </w:tc>
        <w:tc>
          <w:tcPr>
            <w:tcBorders>
              <w:right w:val="none"/>
            </w:tcBorders>
            <w:tcMar>
              <w:top w:type="dxa" w:w="80"/>
              <w:left w:type="dxa" w:w="120"/>
              <w:bottom w:type="dxa" w:w="80"/>
              <w:right w:type="dxa" w:w="120"/>
            </w:tcMar>
            <w:vAlign w:val="center"/>
          </w:tcPr>
          <w:p>
            <w:pPr>
              <w:pStyle w:val="MdTableCell"/>
            </w:pPr>
            <w:r>
              <w:t xml:space="preserve">Unreviewed customs clearance, final financial settlement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Finance and reconciliation</w:t>
            </w:r>
          </w:p>
        </w:tc>
        <w:tc>
          <w:tcPr>
            <w:tcMar>
              <w:top w:type="dxa" w:w="80"/>
              <w:left w:type="dxa" w:w="120"/>
              <w:bottom w:type="dxa" w:w="80"/>
              <w:right w:type="dxa" w:w="120"/>
            </w:tcMar>
            <w:vAlign w:val="center"/>
          </w:tcPr>
          <w:p>
            <w:pPr>
              <w:pStyle w:val="MdTableCell"/>
            </w:pPr>
            <w:r>
              <w:t xml:space="preserve">Invoices, allocations, settlement, refunds, chargebacks, journals, reconciliation</w:t>
            </w:r>
          </w:p>
        </w:tc>
        <w:tc>
          <w:tcPr>
            <w:tcMar>
              <w:top w:type="dxa" w:w="80"/>
              <w:left w:type="dxa" w:w="120"/>
              <w:bottom w:type="dxa" w:w="80"/>
              <w:right w:type="dxa" w:w="120"/>
            </w:tcMar>
            <w:vAlign w:val="center"/>
          </w:tcPr>
          <w:p>
            <w:pPr>
              <w:pStyle w:val="MdTableCell"/>
            </w:pPr>
            <w:r>
              <w:t xml:space="preserve">Approves/release transactions within delegated limits with maker-checker</w:t>
            </w:r>
          </w:p>
        </w:tc>
        <w:tc>
          <w:tcPr>
            <w:tcBorders>
              <w:right w:val="none"/>
            </w:tcBorders>
            <w:tcMar>
              <w:top w:type="dxa" w:w="80"/>
              <w:left w:type="dxa" w:w="120"/>
              <w:bottom w:type="dxa" w:w="80"/>
              <w:right w:type="dxa" w:w="120"/>
            </w:tcMar>
            <w:vAlign w:val="center"/>
          </w:tcPr>
          <w:p>
            <w:pPr>
              <w:pStyle w:val="MdTableCell"/>
            </w:pPr>
            <w:r>
              <w:t xml:space="preserve">Inspection evidence, unilateral operational facts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 and complaints</w:t>
            </w:r>
          </w:p>
        </w:tc>
        <w:tc>
          <w:tcPr>
            <w:tcMar>
              <w:top w:type="dxa" w:w="80"/>
              <w:left w:type="dxa" w:w="120"/>
              <w:bottom w:type="dxa" w:w="80"/>
              <w:right w:type="dxa" w:w="120"/>
            </w:tcMar>
            <w:vAlign w:val="center"/>
          </w:tcPr>
          <w:p>
            <w:pPr>
              <w:pStyle w:val="MdTableCell"/>
            </w:pPr>
            <w:r>
              <w:t xml:space="preserve">Customer identity verification, tickets, communications, remedy tracking</w:t>
            </w:r>
          </w:p>
        </w:tc>
        <w:tc>
          <w:tcPr>
            <w:tcMar>
              <w:top w:type="dxa" w:w="80"/>
              <w:left w:type="dxa" w:w="120"/>
              <w:bottom w:type="dxa" w:w="80"/>
              <w:right w:type="dxa" w:w="120"/>
            </w:tcMar>
            <w:vAlign w:val="center"/>
          </w:tcPr>
          <w:p>
            <w:pPr>
              <w:pStyle w:val="MdTableCell"/>
            </w:pPr>
            <w:r>
              <w:t xml:space="preserve">Closes routine cases and low-risk goodwill within policy</w:t>
            </w:r>
          </w:p>
        </w:tc>
        <w:tc>
          <w:tcPr>
            <w:tcBorders>
              <w:right w:val="none"/>
            </w:tcBorders>
            <w:tcMar>
              <w:top w:type="dxa" w:w="80"/>
              <w:left w:type="dxa" w:w="120"/>
              <w:bottom w:type="dxa" w:w="80"/>
              <w:right w:type="dxa" w:w="120"/>
            </w:tcMar>
            <w:vAlign w:val="center"/>
          </w:tcPr>
          <w:p>
            <w:pPr>
              <w:pStyle w:val="MdTableCell"/>
            </w:pPr>
            <w:r>
              <w:t xml:space="preserve">Role changes, title release, safety closure without owner sign-off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Compliance/privacy/risk</w:t>
            </w:r>
          </w:p>
        </w:tc>
        <w:tc>
          <w:tcPr>
            <w:tcMar>
              <w:top w:type="dxa" w:w="80"/>
              <w:left w:type="dxa" w:w="120"/>
              <w:bottom w:type="dxa" w:w="80"/>
              <w:right w:type="dxa" w:w="120"/>
            </w:tcMar>
            <w:vAlign w:val="center"/>
          </w:tcPr>
          <w:p>
            <w:pPr>
              <w:pStyle w:val="MdTableCell"/>
            </w:pPr>
            <w:r>
              <w:t xml:space="preserve">Privacy governance, fraud/risk queues, policy register, incident response</w:t>
            </w:r>
          </w:p>
        </w:tc>
        <w:tc>
          <w:tcPr>
            <w:tcMar>
              <w:top w:type="dxa" w:w="80"/>
              <w:left w:type="dxa" w:w="120"/>
              <w:bottom w:type="dxa" w:w="80"/>
              <w:right w:type="dxa" w:w="120"/>
            </w:tcMar>
            <w:vAlign w:val="center"/>
          </w:tcPr>
          <w:p>
            <w:pPr>
              <w:pStyle w:val="MdTableCell"/>
            </w:pPr>
            <w:r>
              <w:t xml:space="preserve">Blocks unsafe/non-compliant activity; oversees DPIA and rights workflows</w:t>
            </w:r>
          </w:p>
        </w:tc>
        <w:tc>
          <w:tcPr>
            <w:tcBorders>
              <w:right w:val="none"/>
            </w:tcBorders>
            <w:tcMar>
              <w:top w:type="dxa" w:w="80"/>
              <w:left w:type="dxa" w:w="120"/>
              <w:bottom w:type="dxa" w:w="80"/>
              <w:right w:type="dxa" w:w="120"/>
            </w:tcMar>
            <w:vAlign w:val="center"/>
          </w:tcPr>
          <w:p>
            <w:pPr>
              <w:pStyle w:val="MdTableCell"/>
            </w:pPr>
            <w:r>
              <w:t xml:space="preserve">Unlogged operational override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Security/platform administration</w:t>
            </w:r>
          </w:p>
        </w:tc>
        <w:tc>
          <w:tcPr>
            <w:tcBorders>
              <w:bottom w:val="single" w:color="E1E4E8" w:sz="4"/>
            </w:tcBorders>
            <w:tcMar>
              <w:top w:type="dxa" w:w="80"/>
              <w:left w:type="dxa" w:w="120"/>
              <w:bottom w:type="dxa" w:w="80"/>
              <w:right w:type="dxa" w:w="120"/>
            </w:tcMar>
            <w:vAlign w:val="center"/>
          </w:tcPr>
          <w:p>
            <w:pPr>
              <w:pStyle w:val="MdTableCell"/>
            </w:pPr>
            <w:r>
              <w:t xml:space="preserve">Identity, access policies, environments, monitoring, key and configuration control</w:t>
            </w:r>
          </w:p>
        </w:tc>
        <w:tc>
          <w:tcPr>
            <w:tcBorders>
              <w:bottom w:val="single" w:color="E1E4E8" w:sz="4"/>
            </w:tcBorders>
            <w:tcMar>
              <w:top w:type="dxa" w:w="80"/>
              <w:left w:type="dxa" w:w="120"/>
              <w:bottom w:type="dxa" w:w="80"/>
              <w:right w:type="dxa" w:w="120"/>
            </w:tcMar>
            <w:vAlign w:val="center"/>
          </w:tcPr>
          <w:p>
            <w:pPr>
              <w:pStyle w:val="MdTableCell"/>
            </w:pPr>
            <w:r>
              <w:t xml:space="preserve">Changes system controls through change management; break-glass only with independent review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Routine vehicle, refund, deal, title, or audit-log approval</w:t>
            </w:r>
          </w:p>
        </w:tc>
      </w:tr>
    </w:tbl>
    <w:p>
      <w:pPr>
        <w:pStyle w:val="MdParagraph"/>
      </w:pPr>
      <w:r>
        <w:rPr>
          <w:rStyle w:val="MdStrong"/>
          <w:b/>
          <w:bCs/>
        </w:rPr>
        <w:t xml:space="preserve">[RECOMMENDATION]</w:t>
      </w:r>
      <w:r>
        <w:t xml:space="preserve"> Establish a weekly operating review chaired by operations and attended by finance, compliance, support, inventory, and engineering. Review queue aging, inventory exposure, money at risk, failed controls, customer complaints, SLA breaches, provider incidents, and access exceptions. Establish a quarterly approval-policy review and a monthly privileged-access review.</w:t>
      </w:r>
    </w:p>
    <w:p>
      <w:pPr>
        <w:pStyle w:val="MdSpace"/>
        <w:spacing w:before="0" w:after="60"/>
      </w:pPr>
    </w:p>
    <w:p>
      <w:pPr>
        <w:pStyle w:val="Heading3"/>
        <w:pStyle w:val="MdHeading3"/>
      </w:pPr>
      <w:r>
        <w:t xml:space="preserve">4.2 Segregation-of-duties rules</w:t>
      </w:r>
    </w:p>
    <w:p>
      <w:pPr>
        <w:pStyle w:val="MdParagraph"/>
      </w:pPr>
      <w:r>
        <w:rPr>
          <w:rStyle w:val="MdStrong"/>
          <w:b/>
          <w:bCs/>
        </w:rPr>
        <w:t xml:space="preserve">[RESEARCHED REQUIREMENT]</w:t>
      </w:r>
      <w:r>
        <w:t xml:space="preserve"> The operating model should segregate vehicle intake and safekeeping from accounting and settlement; inspection from listing publication and sale approval; sales negotiation from finance settlement; payment/refund preparation from approval and bank release; rental check-out/check-in from damage/refund approval; support identity changes from recovery approval; and role administration from audit-log administration. </w:t>
      </w:r>
      <w:hyperlink w:history="1" r:id="rId0v9sgia20a-b8b35hrsm4">
        <w:r>
          <w:rPr>
            <w:rStyle w:val="MdLink"/>
          </w:rPr>
          <w:t xml:space="preserve">1</w:t>
        </w:r>
      </w:hyperlink>
      <w:r>
        <w:t xml:space="preserve"> </w:t>
      </w:r>
      <w:hyperlink w:history="1" r:id="rIds-6xmuwt7hzi_wzhs47d7">
        <w:r>
          <w:rPr>
            <w:rStyle w:val="MdLink"/>
          </w:rPr>
          <w:t xml:space="preserve">2</w:t>
        </w:r>
      </w:hyperlink>
    </w:p>
    <w:p>
      <w:pPr>
        <w:pStyle w:val="MdSpace"/>
        <w:spacing w:before="0" w:after="60"/>
      </w:pPr>
    </w:p>
    <w:p>
      <w:pPr>
        <w:pStyle w:val="MdParagraph"/>
      </w:pPr>
      <w:r>
        <w:rPr>
          <w:rStyle w:val="MdStrong"/>
          <w:b/>
          <w:bCs/>
        </w:rPr>
        <w:t xml:space="preserve">[RECOMMENDATION]</w:t>
      </w:r>
      <w:r>
        <w:t xml:space="preserve"> Encode these rules as policy constraints rather than relying on training. A user must not approve a record they created or materially edited. If a small branch lacks enough staff, use compensating controls: a second person from another branch, automated reconciliation, owner review, restricted approval windows, and periodic independent testing. A staffing constraint must never become a permanent broad-access exception.</w:t>
      </w:r>
    </w:p>
    <w:p>
      <w:pPr>
        <w:pStyle w:val="MdSpace"/>
        <w:spacing w:before="0" w:after="60"/>
      </w:pPr>
    </w:p>
    <w:p>
      <w:pPr>
        <w:pStyle w:val="Heading2"/>
        <w:pStyle w:val="MdHeading2"/>
      </w:pPr>
      <w:r>
        <w:t xml:space="preserve">5. RBAC and authorization blueprint</w:t>
      </w:r>
    </w:p>
    <w:p>
      <w:pPr>
        <w:pStyle w:val="Heading3"/>
        <w:pStyle w:val="MdHeading3"/>
      </w:pPr>
      <w:r>
        <w:t xml:space="preserve">5.1 Permission model</w:t>
      </w:r>
    </w:p>
    <w:p>
      <w:pPr>
        <w:pStyle w:val="MdParagraph"/>
      </w:pPr>
      <w:r>
        <w:t xml:space="preserve">Use a resource-action catalog such as </w:t>
      </w:r>
      <w:r>
        <w:rPr>
          <w:rStyle w:val="MdCode"/>
          <w:u w:val="single"/>
        </w:rPr>
        <w:t xml:space="preserve">vehicle.read</w:t>
      </w:r>
      <w:r>
        <w:t xml:space="preserve">, </w:t>
      </w:r>
      <w:r>
        <w:rPr>
          <w:rStyle w:val="MdCode"/>
          <w:u w:val="single"/>
        </w:rPr>
        <w:t xml:space="preserve">vehicle.create</w:t>
      </w:r>
      <w:r>
        <w:t xml:space="preserve">, </w:t>
      </w:r>
      <w:r>
        <w:rPr>
          <w:rStyle w:val="MdCode"/>
          <w:u w:val="single"/>
        </w:rPr>
        <w:t xml:space="preserve">vehicle.edit_draft</w:t>
      </w:r>
      <w:r>
        <w:t xml:space="preserve">, </w:t>
      </w:r>
      <w:r>
        <w:rPr>
          <w:rStyle w:val="MdCode"/>
          <w:u w:val="single"/>
        </w:rPr>
        <w:t xml:space="preserve">inspection.submit</w:t>
      </w:r>
      <w:r>
        <w:t xml:space="preserve">, </w:t>
      </w:r>
      <w:r>
        <w:rPr>
          <w:rStyle w:val="MdCode"/>
          <w:u w:val="single"/>
        </w:rPr>
        <w:t xml:space="preserve">listing.publish</w:t>
      </w:r>
      <w:r>
        <w:t xml:space="preserve">, </w:t>
      </w:r>
      <w:r>
        <w:rPr>
          <w:rStyle w:val="MdCode"/>
          <w:u w:val="single"/>
        </w:rPr>
        <w:t xml:space="preserve">deal.discount_approve</w:t>
      </w:r>
      <w:r>
        <w:t xml:space="preserve">, </w:t>
      </w:r>
      <w:r>
        <w:rPr>
          <w:rStyle w:val="MdCode"/>
          <w:u w:val="single"/>
        </w:rPr>
        <w:t xml:space="preserve">payment.refund_approve</w:t>
      </w:r>
      <w:r>
        <w:t xml:space="preserve">, and </w:t>
      </w:r>
      <w:r>
        <w:rPr>
          <w:rStyle w:val="MdCode"/>
          <w:u w:val="single"/>
        </w:rPr>
        <w:t xml:space="preserve">report.export</w:t>
      </w:r>
      <w:r>
        <w:t xml:space="preserve">. Permissions should be assigned to roles and narrowed by attributes: branch, location, record owner, business unit, transaction state, data classification, time-bound assignment, and maker/checker status.</w:t>
      </w:r>
    </w:p>
    <w:p>
      <w:pPr>
        <w:pStyle w:val="MdSpace"/>
        <w:spacing w:before="0" w:after="60"/>
      </w:pPr>
    </w:p>
    <w:p>
      <w:pPr>
        <w:pStyle w:val="MdParagraph"/>
      </w:pPr>
      <w:r>
        <w:rPr>
          <w:rStyle w:val="MdStrong"/>
          <w:b/>
          <w:bCs/>
        </w:rPr>
        <w:t xml:space="preserve">[RESEARCHED REQUIREMENT]</w:t>
      </w:r>
      <w:r>
        <w:t xml:space="preserve"> Authorization must be server-side, deny-by-default, centrally enforced, validated on every request, and object-level. Client-side menus are not a security boundary. </w:t>
      </w:r>
      <w:hyperlink w:history="1" r:id="rId3bm5uvgpc8tixire5gae0">
        <w:r>
          <w:rPr>
            <w:rStyle w:val="MdLink"/>
          </w:rPr>
          <w:t xml:space="preserve">1</w:t>
        </w:r>
      </w:hyperlink>
      <w:r>
        <w:t xml:space="preserve"> </w:t>
      </w:r>
      <w:hyperlink w:history="1" r:id="rId_385emrskkivrnnlcnbxf">
        <w:r>
          <w:rPr>
            <w:rStyle w:val="MdLink"/>
          </w:rPr>
          <w:t xml:space="preserve">3</w:t>
        </w:r>
      </w:hyperlink>
      <w:r>
        <w:t xml:space="preserve"> </w:t>
      </w:r>
      <w:hyperlink w:history="1" r:id="rIdsomaq33ihhi_irmemhm08">
        <w:r>
          <w:rPr>
            <w:rStyle w:val="MdLink"/>
          </w:rPr>
          <w:t xml:space="preserve">4</w:t>
        </w:r>
      </w:hyperlink>
    </w:p>
    <w:p>
      <w:pPr>
        <w:pStyle w:val="MdSpace"/>
        <w:spacing w:before="0" w:after="60"/>
      </w:pPr>
    </w:p>
    <w:p>
      <w:pPr>
        <w:pStyle w:val="Heading3"/>
        <w:pStyle w:val="MdHeading3"/>
      </w:pPr>
      <w:r>
        <w:t xml:space="preserve">5.2 RBAC matrix</w:t>
      </w:r>
    </w:p>
    <w:p>
      <w:pPr>
        <w:pStyle w:val="MdParagraph"/>
      </w:pPr>
      <w:r>
        <w:t xml:space="preserve">Legend: </w:t>
      </w:r>
      <w:r>
        <w:rPr>
          <w:rStyle w:val="MdStrong"/>
          <w:b/>
          <w:bCs/>
        </w:rPr>
        <w:t xml:space="preserve">V</w:t>
      </w:r>
      <w:r>
        <w:t xml:space="preserve"> = view; </w:t>
      </w:r>
      <w:r>
        <w:rPr>
          <w:rStyle w:val="MdStrong"/>
          <w:b/>
          <w:bCs/>
        </w:rPr>
        <w:t xml:space="preserve">C</w:t>
      </w:r>
      <w:r>
        <w:t xml:space="preserve"> = create; </w:t>
      </w:r>
      <w:r>
        <w:rPr>
          <w:rStyle w:val="MdStrong"/>
          <w:b/>
          <w:bCs/>
        </w:rPr>
        <w:t xml:space="preserve">E</w:t>
      </w:r>
      <w:r>
        <w:t xml:space="preserve"> = edit; </w:t>
      </w:r>
      <w:r>
        <w:rPr>
          <w:rStyle w:val="MdStrong"/>
          <w:b/>
          <w:bCs/>
        </w:rPr>
        <w:t xml:space="preserve">A</w:t>
      </w:r>
      <w:r>
        <w:t xml:space="preserve"> = approve/finalize; </w:t>
      </w:r>
      <w:r>
        <w:rPr>
          <w:rStyle w:val="MdStrong"/>
          <w:b/>
          <w:bCs/>
        </w:rPr>
        <w:t xml:space="preserve">X</w:t>
      </w:r>
      <w:r>
        <w:t xml:space="preserve"> = export. “Scoped” means the role sees only assigned branches, vehicles, records, or queues and only the fields allowed by data classification.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 and access class</w:t>
            </w:r>
          </w:p>
        </w:tc>
        <w:tc>
          <w:tcPr>
            <w:tcMar>
              <w:top w:type="dxa" w:w="100"/>
              <w:left w:type="dxa" w:w="120"/>
              <w:bottom w:type="dxa" w:w="100"/>
              <w:right w:type="dxa" w:w="120"/>
            </w:tcMar>
            <w:vAlign w:val="center"/>
          </w:tcPr>
          <w:p>
            <w:pPr>
              <w:pStyle w:val="MdTableHeader"/>
            </w:pPr>
            <w:r>
              <w:t xml:space="preserve">Vehicles/listings</w:t>
            </w:r>
          </w:p>
        </w:tc>
        <w:tc>
          <w:tcPr>
            <w:tcMar>
              <w:top w:type="dxa" w:w="100"/>
              <w:left w:type="dxa" w:w="120"/>
              <w:bottom w:type="dxa" w:w="100"/>
              <w:right w:type="dxa" w:w="120"/>
            </w:tcMar>
            <w:vAlign w:val="center"/>
          </w:tcPr>
          <w:p>
            <w:pPr>
              <w:pStyle w:val="MdTableHeader"/>
            </w:pPr>
            <w:r>
              <w:t xml:space="preserve">Inspection/evidence</w:t>
            </w:r>
          </w:p>
        </w:tc>
        <w:tc>
          <w:tcPr>
            <w:tcMar>
              <w:top w:type="dxa" w:w="100"/>
              <w:left w:type="dxa" w:w="120"/>
              <w:bottom w:type="dxa" w:w="100"/>
              <w:right w:type="dxa" w:w="120"/>
            </w:tcMar>
            <w:vAlign w:val="center"/>
          </w:tcPr>
          <w:p>
            <w:pPr>
              <w:pStyle w:val="MdTableHeader"/>
            </w:pPr>
            <w:r>
              <w:t xml:space="preserve">Sales/rental/import</w:t>
            </w:r>
          </w:p>
        </w:tc>
        <w:tc>
          <w:tcPr>
            <w:tcMar>
              <w:top w:type="dxa" w:w="100"/>
              <w:left w:type="dxa" w:w="120"/>
              <w:bottom w:type="dxa" w:w="100"/>
              <w:right w:type="dxa" w:w="120"/>
            </w:tcMar>
            <w:vAlign w:val="center"/>
          </w:tcPr>
          <w:p>
            <w:pPr>
              <w:pStyle w:val="MdTableHeader"/>
            </w:pPr>
            <w:r>
              <w:t xml:space="preserve">Finance</w:t>
            </w:r>
          </w:p>
        </w:tc>
        <w:tc>
          <w:tcPr>
            <w:tcMar>
              <w:top w:type="dxa" w:w="100"/>
              <w:left w:type="dxa" w:w="120"/>
              <w:bottom w:type="dxa" w:w="100"/>
              <w:right w:type="dxa" w:w="120"/>
            </w:tcMar>
            <w:vAlign w:val="center"/>
          </w:tcPr>
          <w:p>
            <w:pPr>
              <w:pStyle w:val="MdTableHeader"/>
            </w:pPr>
            <w:r>
              <w:t xml:space="preserve">Customers/support</w:t>
            </w:r>
          </w:p>
        </w:tc>
        <w:tc>
          <w:tcPr>
            <w:tcMar>
              <w:top w:type="dxa" w:w="100"/>
              <w:left w:type="dxa" w:w="120"/>
              <w:bottom w:type="dxa" w:w="100"/>
              <w:right w:type="dxa" w:w="120"/>
            </w:tcMar>
            <w:vAlign w:val="center"/>
          </w:tcPr>
          <w:p>
            <w:pPr>
              <w:pStyle w:val="MdTableHeader"/>
            </w:pPr>
            <w:r>
              <w:t xml:space="preserve">Admin/configuration</w:t>
            </w:r>
          </w:p>
        </w:tc>
        <w:tc>
          <w:tcPr>
            <w:tcBorders>
              <w:right w:val="none"/>
            </w:tcBorders>
            <w:tcMar>
              <w:top w:type="dxa" w:w="100"/>
              <w:left w:type="dxa" w:w="120"/>
              <w:bottom w:type="dxa" w:w="100"/>
              <w:right w:type="dxa" w:w="120"/>
            </w:tcMar>
            <w:vAlign w:val="center"/>
          </w:tcPr>
          <w:p>
            <w:pPr>
              <w:pStyle w:val="MdTableHeader"/>
            </w:pPr>
            <w:r>
              <w:t xml:space="preserve">Export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Super admin — Admin</w:t>
            </w:r>
          </w:p>
        </w:tc>
        <w:tc>
          <w:tcPr>
            <w:tcMar>
              <w:top w:type="dxa" w:w="80"/>
              <w:left w:type="dxa" w:w="120"/>
              <w:bottom w:type="dxa" w:w="80"/>
              <w:right w:type="dxa" w:w="120"/>
            </w:tcMar>
            <w:vAlign w:val="center"/>
          </w:tcPr>
          <w:p>
            <w:pPr>
              <w:pStyle w:val="MdTableCell"/>
            </w:pPr>
            <w:r>
              <w:t xml:space="preserve">V all metadata; no routine approval</w:t>
            </w:r>
          </w:p>
        </w:tc>
        <w:tc>
          <w:tcPr>
            <w:tcMar>
              <w:top w:type="dxa" w:w="80"/>
              <w:left w:type="dxa" w:w="120"/>
              <w:bottom w:type="dxa" w:w="80"/>
              <w:right w:type="dxa" w:w="120"/>
            </w:tcMar>
            <w:vAlign w:val="center"/>
          </w:tcPr>
          <w:p>
            <w:pPr>
              <w:pStyle w:val="MdTableCell"/>
            </w:pPr>
            <w:r>
              <w:t xml:space="preserve">V audit metadata, not unrestricted documents</w:t>
            </w:r>
          </w:p>
        </w:tc>
        <w:tc>
          <w:tcPr>
            <w:tcMar>
              <w:top w:type="dxa" w:w="80"/>
              <w:left w:type="dxa" w:w="120"/>
              <w:bottom w:type="dxa" w:w="80"/>
              <w:right w:type="dxa" w:w="120"/>
            </w:tcMar>
            <w:vAlign w:val="center"/>
          </w:tcPr>
          <w:p>
            <w:pPr>
              <w:pStyle w:val="MdTableCell"/>
            </w:pPr>
            <w:r>
              <w:t xml:space="preserve">V operational/configuration metadata; no routine deal, rental, title, or release approval</w:t>
            </w:r>
          </w:p>
        </w:tc>
        <w:tc>
          <w:tcPr>
            <w:tcMar>
              <w:top w:type="dxa" w:w="80"/>
              <w:left w:type="dxa" w:w="120"/>
              <w:bottom w:type="dxa" w:w="80"/>
              <w:right w:type="dxa" w:w="120"/>
            </w:tcMar>
            <w:vAlign w:val="center"/>
          </w:tcPr>
          <w:p>
            <w:pPr>
              <w:pStyle w:val="MdTableCell"/>
            </w:pPr>
            <w:r>
              <w:t xml:space="preserve">V summaries, not plaintext secrets</w:t>
            </w:r>
          </w:p>
        </w:tc>
        <w:tc>
          <w:tcPr>
            <w:tcMar>
              <w:top w:type="dxa" w:w="80"/>
              <w:left w:type="dxa" w:w="120"/>
              <w:bottom w:type="dxa" w:w="80"/>
              <w:right w:type="dxa" w:w="120"/>
            </w:tcMar>
            <w:vAlign w:val="center"/>
          </w:tcPr>
          <w:p>
            <w:pPr>
              <w:pStyle w:val="MdTableCell"/>
            </w:pPr>
            <w:r>
              <w:t xml:space="preserve">V only as justified for support/security</w:t>
            </w:r>
          </w:p>
        </w:tc>
        <w:tc>
          <w:tcPr>
            <w:tcMar>
              <w:top w:type="dxa" w:w="80"/>
              <w:left w:type="dxa" w:w="120"/>
              <w:bottom w:type="dxa" w:w="80"/>
              <w:right w:type="dxa" w:w="120"/>
            </w:tcMar>
            <w:vAlign w:val="center"/>
          </w:tcPr>
          <w:p>
            <w:pPr>
              <w:pStyle w:val="MdTableCell"/>
            </w:pPr>
            <w:r>
              <w:t xml:space="preserve">C/E users, roles, policies, configuration; A policy changes and break-glass only</w:t>
            </w:r>
          </w:p>
        </w:tc>
        <w:tc>
          <w:tcPr>
            <w:tcBorders>
              <w:right w:val="none"/>
            </w:tcBorders>
            <w:tcMar>
              <w:top w:type="dxa" w:w="80"/>
              <w:left w:type="dxa" w:w="120"/>
              <w:bottom w:type="dxa" w:w="80"/>
              <w:right w:type="dxa" w:w="120"/>
            </w:tcMar>
            <w:vAlign w:val="center"/>
          </w:tcPr>
          <w:p>
            <w:pPr>
              <w:pStyle w:val="MdTableCell"/>
            </w:pPr>
            <w:r>
              <w:t xml:space="preserve">X compliance/audit extracts; no unrestricted customer dump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Operations manager — Staff manager</w:t>
            </w:r>
          </w:p>
        </w:tc>
        <w:tc>
          <w:tcPr>
            <w:tcMar>
              <w:top w:type="dxa" w:w="80"/>
              <w:left w:type="dxa" w:w="120"/>
              <w:bottom w:type="dxa" w:w="80"/>
              <w:right w:type="dxa" w:w="120"/>
            </w:tcMar>
            <w:vAlign w:val="center"/>
          </w:tcPr>
          <w:p>
            <w:pPr>
              <w:pStyle w:val="MdTableCell"/>
            </w:pPr>
            <w:r>
              <w:t xml:space="preserve">V all branch operations; C/E drafts, assignments, transfers, pricing proposals; A publication, transfers, low-risk exceptions</w:t>
            </w:r>
          </w:p>
        </w:tc>
        <w:tc>
          <w:tcPr>
            <w:tcMar>
              <w:top w:type="dxa" w:w="80"/>
              <w:left w:type="dxa" w:w="120"/>
              <w:bottom w:type="dxa" w:w="80"/>
              <w:right w:type="dxa" w:w="120"/>
            </w:tcMar>
            <w:vAlign w:val="center"/>
          </w:tcPr>
          <w:p>
            <w:pPr>
              <w:pStyle w:val="MdTableCell"/>
            </w:pPr>
            <w:r>
              <w:t xml:space="preserve">V inspection status and exceptions; cannot alter evidence</w:t>
            </w:r>
          </w:p>
        </w:tc>
        <w:tc>
          <w:tcPr>
            <w:tcMar>
              <w:top w:type="dxa" w:w="80"/>
              <w:left w:type="dxa" w:w="120"/>
              <w:bottom w:type="dxa" w:w="80"/>
              <w:right w:type="dxa" w:w="120"/>
            </w:tcMar>
            <w:vAlign w:val="center"/>
          </w:tcPr>
          <w:p>
            <w:pPr>
              <w:pStyle w:val="MdTableCell"/>
            </w:pPr>
            <w:r>
              <w:t xml:space="preserve">C/E assignments, booking/rental policy proposals, operational adjustments; A routine booking/extension and approved discount limits</w:t>
            </w:r>
          </w:p>
        </w:tc>
        <w:tc>
          <w:tcPr>
            <w:tcMar>
              <w:top w:type="dxa" w:w="80"/>
              <w:left w:type="dxa" w:w="120"/>
              <w:bottom w:type="dxa" w:w="80"/>
              <w:right w:type="dxa" w:w="120"/>
            </w:tcMar>
            <w:vAlign w:val="center"/>
          </w:tcPr>
          <w:p>
            <w:pPr>
              <w:pStyle w:val="MdTableCell"/>
            </w:pPr>
            <w:r>
              <w:t xml:space="preserve">V summaries and exceptions; no payment release</w:t>
            </w:r>
          </w:p>
        </w:tc>
        <w:tc>
          <w:tcPr>
            <w:tcMar>
              <w:top w:type="dxa" w:w="80"/>
              <w:left w:type="dxa" w:w="120"/>
              <w:bottom w:type="dxa" w:w="80"/>
              <w:right w:type="dxa" w:w="120"/>
            </w:tcMar>
            <w:vAlign w:val="center"/>
          </w:tcPr>
          <w:p>
            <w:pPr>
              <w:pStyle w:val="MdTableCell"/>
            </w:pPr>
            <w:r>
              <w:t xml:space="preserve">V queues and customer context needed for operations</w:t>
            </w:r>
          </w:p>
        </w:tc>
        <w:tc>
          <w:tcPr>
            <w:tcMar>
              <w:top w:type="dxa" w:w="80"/>
              <w:left w:type="dxa" w:w="120"/>
              <w:bottom w:type="dxa" w:w="80"/>
              <w:right w:type="dxa" w:w="120"/>
            </w:tcMar>
            <w:vAlign w:val="center"/>
          </w:tcPr>
          <w:p>
            <w:pPr>
              <w:pStyle w:val="MdTableCell"/>
            </w:pPr>
            <w:r>
              <w:t xml:space="preserve">No role administration; may request access</w:t>
            </w:r>
          </w:p>
        </w:tc>
        <w:tc>
          <w:tcPr>
            <w:tcBorders>
              <w:right w:val="none"/>
            </w:tcBorders>
            <w:tcMar>
              <w:top w:type="dxa" w:w="80"/>
              <w:left w:type="dxa" w:w="120"/>
              <w:bottom w:type="dxa" w:w="80"/>
              <w:right w:type="dxa" w:w="120"/>
            </w:tcMar>
            <w:vAlign w:val="center"/>
          </w:tcPr>
          <w:p>
            <w:pPr>
              <w:pStyle w:val="MdTableCell"/>
            </w:pPr>
            <w:r>
              <w:t xml:space="preserve">X branch KPI and operational reports, masked PII/payment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Inventory/acquisition staff — Staff</w:t>
            </w:r>
          </w:p>
        </w:tc>
        <w:tc>
          <w:tcPr>
            <w:tcMar>
              <w:top w:type="dxa" w:w="80"/>
              <w:left w:type="dxa" w:w="120"/>
              <w:bottom w:type="dxa" w:w="80"/>
              <w:right w:type="dxa" w:w="120"/>
            </w:tcMar>
            <w:vAlign w:val="center"/>
          </w:tcPr>
          <w:p>
            <w:pPr>
              <w:pStyle w:val="MdTableCell"/>
            </w:pPr>
            <w:r>
              <w:t xml:space="preserve">V assigned vehicles, documents, location, availability; C intake, acquisition and transfer requests; E draft data/location/cost before finance lock; no A of own records</w:t>
            </w:r>
          </w:p>
        </w:tc>
        <w:tc>
          <w:tcPr>
            <w:tcMar>
              <w:top w:type="dxa" w:w="80"/>
              <w:left w:type="dxa" w:w="120"/>
              <w:bottom w:type="dxa" w:w="80"/>
              <w:right w:type="dxa" w:w="120"/>
            </w:tcMar>
            <w:vAlign w:val="center"/>
          </w:tcPr>
          <w:p>
            <w:pPr>
              <w:pStyle w:val="MdTableCell"/>
            </w:pPr>
            <w:r>
              <w:t xml:space="preserve">V status; C receipt/count attestation and media</w:t>
            </w:r>
          </w:p>
        </w:tc>
        <w:tc>
          <w:tcPr>
            <w:tcMar>
              <w:top w:type="dxa" w:w="80"/>
              <w:left w:type="dxa" w:w="120"/>
              <w:bottom w:type="dxa" w:w="80"/>
              <w:right w:type="dxa" w:w="120"/>
            </w:tcMar>
            <w:vAlign w:val="center"/>
          </w:tcPr>
          <w:p>
            <w:pPr>
              <w:pStyle w:val="MdTableCell"/>
            </w:pPr>
            <w:r>
              <w:t xml:space="preserve">C sell-car leads and acquisition records; E assigned drafts; no offer/final settlement A</w:t>
            </w:r>
          </w:p>
        </w:tc>
        <w:tc>
          <w:tcPr>
            <w:tcMar>
              <w:top w:type="dxa" w:w="80"/>
              <w:left w:type="dxa" w:w="120"/>
              <w:bottom w:type="dxa" w:w="80"/>
              <w:right w:type="dxa" w:w="120"/>
            </w:tcMar>
            <w:vAlign w:val="center"/>
          </w:tcPr>
          <w:p>
            <w:pPr>
              <w:pStyle w:val="MdTableCell"/>
            </w:pPr>
            <w:r>
              <w:t xml:space="preserve">V cost basis only as scoped; no settlement edits</w:t>
            </w:r>
          </w:p>
        </w:tc>
        <w:tc>
          <w:tcPr>
            <w:tcMar>
              <w:top w:type="dxa" w:w="80"/>
              <w:left w:type="dxa" w:w="120"/>
              <w:bottom w:type="dxa" w:w="80"/>
              <w:right w:type="dxa" w:w="120"/>
            </w:tcMar>
            <w:vAlign w:val="center"/>
          </w:tcPr>
          <w:p>
            <w:pPr>
              <w:pStyle w:val="MdTableCell"/>
            </w:pPr>
            <w:r>
              <w:t xml:space="preserve">V minimum seller profile needed for acquisition</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assigned inventory/receiving reports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Sales staff — Staff</w:t>
            </w:r>
          </w:p>
        </w:tc>
        <w:tc>
          <w:tcPr>
            <w:tcMar>
              <w:top w:type="dxa" w:w="80"/>
              <w:left w:type="dxa" w:w="120"/>
              <w:bottom w:type="dxa" w:w="80"/>
              <w:right w:type="dxa" w:w="120"/>
            </w:tcMar>
            <w:vAlign w:val="center"/>
          </w:tcPr>
          <w:p>
            <w:pPr>
              <w:pStyle w:val="MdTableCell"/>
            </w:pPr>
            <w:r>
              <w:t xml:space="preserve">V published/assigned inventory; C listing/content proposals and appointments; E own deal drafts</w:t>
            </w:r>
          </w:p>
        </w:tc>
        <w:tc>
          <w:tcPr>
            <w:tcMar>
              <w:top w:type="dxa" w:w="80"/>
              <w:left w:type="dxa" w:w="120"/>
              <w:bottom w:type="dxa" w:w="80"/>
              <w:right w:type="dxa" w:w="120"/>
            </w:tcMar>
            <w:vAlign w:val="center"/>
          </w:tcPr>
          <w:p>
            <w:pPr>
              <w:pStyle w:val="MdTableCell"/>
            </w:pPr>
            <w:r>
              <w:t xml:space="preserve">V approved highlights only</w:t>
            </w:r>
          </w:p>
        </w:tc>
        <w:tc>
          <w:tcPr>
            <w:tcMar>
              <w:top w:type="dxa" w:w="80"/>
              <w:left w:type="dxa" w:w="120"/>
              <w:bottom w:type="dxa" w:w="80"/>
              <w:right w:type="dxa" w:w="120"/>
            </w:tcMar>
            <w:vAlign w:val="center"/>
          </w:tcPr>
          <w:p>
            <w:pPr>
              <w:pStyle w:val="MdTableCell"/>
            </w:pPr>
            <w:r>
              <w:t xml:space="preserve">C leads, test drives, quotes, deal drafts; E own records until handoff; no final sale, refund, title release, or material discount A</w:t>
            </w:r>
          </w:p>
        </w:tc>
        <w:tc>
          <w:tcPr>
            <w:tcMar>
              <w:top w:type="dxa" w:w="80"/>
              <w:left w:type="dxa" w:w="120"/>
              <w:bottom w:type="dxa" w:w="80"/>
              <w:right w:type="dxa" w:w="120"/>
            </w:tcMar>
            <w:vAlign w:val="center"/>
          </w:tcPr>
          <w:p>
            <w:pPr>
              <w:pStyle w:val="MdTableCell"/>
            </w:pPr>
            <w:r>
              <w:t xml:space="preserve">V approved price/payment status only</w:t>
            </w:r>
          </w:p>
        </w:tc>
        <w:tc>
          <w:tcPr>
            <w:tcMar>
              <w:top w:type="dxa" w:w="80"/>
              <w:left w:type="dxa" w:w="120"/>
              <w:bottom w:type="dxa" w:w="80"/>
              <w:right w:type="dxa" w:w="120"/>
            </w:tcMar>
            <w:vAlign w:val="center"/>
          </w:tcPr>
          <w:p>
            <w:pPr>
              <w:pStyle w:val="MdTableCell"/>
            </w:pPr>
            <w:r>
              <w:t xml:space="preserve">V permitted customer fields; E own lead/contact notes</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own pipeline with masked contacts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Rental staff — Staff</w:t>
            </w:r>
          </w:p>
        </w:tc>
        <w:tc>
          <w:tcPr>
            <w:tcMar>
              <w:top w:type="dxa" w:w="80"/>
              <w:left w:type="dxa" w:w="120"/>
              <w:bottom w:type="dxa" w:w="80"/>
              <w:right w:type="dxa" w:w="120"/>
            </w:tcMar>
            <w:vAlign w:val="center"/>
          </w:tcPr>
          <w:p>
            <w:pPr>
              <w:pStyle w:val="MdTableCell"/>
            </w:pPr>
            <w:r>
              <w:t xml:space="preserve">V rentable vehicles, condition, availability</w:t>
            </w:r>
          </w:p>
        </w:tc>
        <w:tc>
          <w:tcPr>
            <w:tcMar>
              <w:top w:type="dxa" w:w="80"/>
              <w:left w:type="dxa" w:w="120"/>
              <w:bottom w:type="dxa" w:w="80"/>
              <w:right w:type="dxa" w:w="120"/>
            </w:tcMar>
            <w:vAlign w:val="center"/>
          </w:tcPr>
          <w:p>
            <w:pPr>
              <w:pStyle w:val="MdTableCell"/>
            </w:pPr>
            <w:r>
              <w:t xml:space="preserve">V inspection status and check-in/out evidence</w:t>
            </w:r>
          </w:p>
        </w:tc>
        <w:tc>
          <w:tcPr>
            <w:tcMar>
              <w:top w:type="dxa" w:w="80"/>
              <w:left w:type="dxa" w:w="120"/>
              <w:bottom w:type="dxa" w:w="80"/>
              <w:right w:type="dxa" w:w="120"/>
            </w:tcMar>
            <w:vAlign w:val="center"/>
          </w:tcPr>
          <w:p>
            <w:pPr>
              <w:pStyle w:val="MdTableCell"/>
            </w:pPr>
            <w:r>
              <w:t xml:space="preserve">C booking, agreements, check-in/out and incidents; E assigned booking dates/condition before settlement; A routine bookings/extensions within policy, not own damage/refund</w:t>
            </w:r>
          </w:p>
        </w:tc>
        <w:tc>
          <w:tcPr>
            <w:tcMar>
              <w:top w:type="dxa" w:w="80"/>
              <w:left w:type="dxa" w:w="120"/>
              <w:bottom w:type="dxa" w:w="80"/>
              <w:right w:type="dxa" w:w="120"/>
            </w:tcMar>
            <w:vAlign w:val="center"/>
          </w:tcPr>
          <w:p>
            <w:pPr>
              <w:pStyle w:val="MdTableCell"/>
            </w:pPr>
            <w:r>
              <w:t xml:space="preserve">V deposits/status, not payment credentials; no own refund A</w:t>
            </w:r>
          </w:p>
        </w:tc>
        <w:tc>
          <w:tcPr>
            <w:tcMar>
              <w:top w:type="dxa" w:w="80"/>
              <w:left w:type="dxa" w:w="120"/>
              <w:bottom w:type="dxa" w:w="80"/>
              <w:right w:type="dxa" w:w="120"/>
            </w:tcMar>
            <w:vAlign w:val="center"/>
          </w:tcPr>
          <w:p>
            <w:pPr>
              <w:pStyle w:val="MdTableCell"/>
            </w:pPr>
            <w:r>
              <w:t xml:space="preserve">V renter/driver fields necessary for trip</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operational utilization/booking reports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Inspection staff — Staff</w:t>
            </w:r>
          </w:p>
        </w:tc>
        <w:tc>
          <w:tcPr>
            <w:tcMar>
              <w:top w:type="dxa" w:w="80"/>
              <w:left w:type="dxa" w:w="120"/>
              <w:bottom w:type="dxa" w:w="80"/>
              <w:right w:type="dxa" w:w="120"/>
            </w:tcMar>
            <w:vAlign w:val="center"/>
          </w:tcPr>
          <w:p>
            <w:pPr>
              <w:pStyle w:val="MdTableCell"/>
            </w:pPr>
            <w:r>
              <w:t xml:space="preserve">V assigned vehicle and required ownership/history records</w:t>
            </w:r>
          </w:p>
        </w:tc>
        <w:tc>
          <w:tcPr>
            <w:tcMar>
              <w:top w:type="dxa" w:w="80"/>
              <w:left w:type="dxa" w:w="120"/>
              <w:bottom w:type="dxa" w:w="80"/>
              <w:right w:type="dxa" w:w="120"/>
            </w:tcMar>
            <w:vAlign w:val="center"/>
          </w:tcPr>
          <w:p>
            <w:pPr>
              <w:pStyle w:val="MdTableCell"/>
            </w:pPr>
            <w:r>
              <w:t xml:space="preserve">C checklist, photos/video, defects, mileage; E own draft until submission; A inspection version/pass/fail with immutable versioning</w:t>
            </w:r>
          </w:p>
        </w:tc>
        <w:tc>
          <w:tcPr>
            <w:tcMar>
              <w:top w:type="dxa" w:w="80"/>
              <w:left w:type="dxa" w:w="120"/>
              <w:bottom w:type="dxa" w:w="80"/>
              <w:right w:type="dxa" w:w="120"/>
            </w:tcMar>
            <w:vAlign w:val="center"/>
          </w:tcPr>
          <w:p>
            <w:pPr>
              <w:pStyle w:val="MdTableCell"/>
            </w:pPr>
            <w:r>
              <w:t xml:space="preserve">No listing publication or commercial approval</w:t>
            </w:r>
          </w:p>
        </w:tc>
        <w:tc>
          <w:tcPr>
            <w:tcMar>
              <w:top w:type="dxa" w:w="80"/>
              <w:left w:type="dxa" w:w="120"/>
              <w:bottom w:type="dxa" w:w="80"/>
              <w:right w:type="dxa" w:w="120"/>
            </w:tcMar>
            <w:vAlign w:val="center"/>
          </w:tcPr>
          <w:p>
            <w:pPr>
              <w:pStyle w:val="MdTableCell"/>
            </w:pPr>
            <w:r>
              <w:t xml:space="preserve">None</w:t>
            </w:r>
          </w:p>
        </w:tc>
        <w:tc>
          <w:tcPr>
            <w:tcMar>
              <w:top w:type="dxa" w:w="80"/>
              <w:left w:type="dxa" w:w="120"/>
              <w:bottom w:type="dxa" w:w="80"/>
              <w:right w:type="dxa" w:w="120"/>
            </w:tcMar>
            <w:vAlign w:val="center"/>
          </w:tcPr>
          <w:p>
            <w:pPr>
              <w:pStyle w:val="MdTableCell"/>
            </w:pPr>
            <w:r>
              <w:t xml:space="preserve">V minimum identity needed to match inspection</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assigned inspection reports with minimized PII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Finance staff — Staff</w:t>
            </w:r>
          </w:p>
        </w:tc>
        <w:tc>
          <w:tcPr>
            <w:tcMar>
              <w:top w:type="dxa" w:w="80"/>
              <w:left w:type="dxa" w:w="120"/>
              <w:bottom w:type="dxa" w:w="80"/>
              <w:right w:type="dxa" w:w="120"/>
            </w:tcMar>
            <w:vAlign w:val="center"/>
          </w:tcPr>
          <w:p>
            <w:pPr>
              <w:pStyle w:val="MdTableCell"/>
            </w:pPr>
            <w:r>
              <w:t xml:space="preserve">V approved vehicle and deal financial fields; no inspection edits</w:t>
            </w:r>
          </w:p>
        </w:tc>
        <w:tc>
          <w:tcPr>
            <w:tcMar>
              <w:top w:type="dxa" w:w="80"/>
              <w:left w:type="dxa" w:w="120"/>
              <w:bottom w:type="dxa" w:w="80"/>
              <w:right w:type="dxa" w:w="120"/>
            </w:tcMar>
            <w:vAlign w:val="center"/>
          </w:tcPr>
          <w:p>
            <w:pPr>
              <w:pStyle w:val="MdTableCell"/>
            </w:pPr>
            <w:r>
              <w:t xml:space="preserve">V evidence needed for settlement; no operational fact edits</w:t>
            </w:r>
          </w:p>
        </w:tc>
        <w:tc>
          <w:tcPr>
            <w:tcMar>
              <w:top w:type="dxa" w:w="80"/>
              <w:left w:type="dxa" w:w="120"/>
              <w:bottom w:type="dxa" w:w="80"/>
              <w:right w:type="dxa" w:w="120"/>
            </w:tcMar>
            <w:vAlign w:val="center"/>
          </w:tcPr>
          <w:p>
            <w:pPr>
              <w:pStyle w:val="MdTableCell"/>
            </w:pPr>
            <w:r>
              <w:t xml:space="preserve">V approved deals/rentals/import costs; C invoices, allocations, refunds, journals; E finance drafts; A payments/refunds/write-offs within threshold with maker-checker</w:t>
            </w:r>
          </w:p>
        </w:tc>
        <w:tc>
          <w:tcPr>
            <w:tcMar>
              <w:top w:type="dxa" w:w="80"/>
              <w:left w:type="dxa" w:w="120"/>
              <w:bottom w:type="dxa" w:w="80"/>
              <w:right w:type="dxa" w:w="120"/>
            </w:tcMar>
            <w:vAlign w:val="center"/>
          </w:tcPr>
          <w:p>
            <w:pPr>
              <w:pStyle w:val="MdTableCell"/>
            </w:pPr>
            <w:r>
              <w:t xml:space="preserve">V/C/E/A as separated by maker, approver, reconciler</w:t>
            </w:r>
          </w:p>
        </w:tc>
        <w:tc>
          <w:tcPr>
            <w:tcMar>
              <w:top w:type="dxa" w:w="80"/>
              <w:left w:type="dxa" w:w="120"/>
              <w:bottom w:type="dxa" w:w="80"/>
              <w:right w:type="dxa" w:w="120"/>
            </w:tcMar>
            <w:vAlign w:val="center"/>
          </w:tcPr>
          <w:p>
            <w:pPr>
              <w:pStyle w:val="MdTableCell"/>
            </w:pPr>
            <w:r>
              <w:t xml:space="preserve">V financial/customer data necessary for transaction; no support identity changes</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finance/regulator/auditor extracts with masked bank/identity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Support staff — Staff</w:t>
            </w:r>
          </w:p>
        </w:tc>
        <w:tc>
          <w:tcPr>
            <w:tcMar>
              <w:top w:type="dxa" w:w="80"/>
              <w:left w:type="dxa" w:w="120"/>
              <w:bottom w:type="dxa" w:w="80"/>
              <w:right w:type="dxa" w:w="120"/>
            </w:tcMar>
            <w:vAlign w:val="center"/>
          </w:tcPr>
          <w:p>
            <w:pPr>
              <w:pStyle w:val="MdTableCell"/>
            </w:pPr>
            <w:r>
              <w:t xml:space="preserve">V listing/order/booking status; no vehicle evidence edits</w:t>
            </w:r>
          </w:p>
        </w:tc>
        <w:tc>
          <w:tcPr>
            <w:tcMar>
              <w:top w:type="dxa" w:w="80"/>
              <w:left w:type="dxa" w:w="120"/>
              <w:bottom w:type="dxa" w:w="80"/>
              <w:right w:type="dxa" w:w="120"/>
            </w:tcMar>
            <w:vAlign w:val="center"/>
          </w:tcPr>
          <w:p>
            <w:pPr>
              <w:pStyle w:val="MdTableCell"/>
            </w:pPr>
            <w:r>
              <w:t xml:space="preserve">V approved customer-shareable evidence</w:t>
            </w:r>
          </w:p>
        </w:tc>
        <w:tc>
          <w:tcPr>
            <w:tcMar>
              <w:top w:type="dxa" w:w="80"/>
              <w:left w:type="dxa" w:w="120"/>
              <w:bottom w:type="dxa" w:w="80"/>
              <w:right w:type="dxa" w:w="120"/>
            </w:tcMar>
            <w:vAlign w:val="center"/>
          </w:tcPr>
          <w:p>
            <w:pPr>
              <w:pStyle w:val="MdTableCell"/>
            </w:pPr>
            <w:r>
              <w:t xml:space="preserve">C tickets, callbacks, complaints, goodwill requests; E ticket state/notes; no pricing/title/payment credential changes</w:t>
            </w:r>
          </w:p>
        </w:tc>
        <w:tc>
          <w:tcPr>
            <w:tcMar>
              <w:top w:type="dxa" w:w="80"/>
              <w:left w:type="dxa" w:w="120"/>
              <w:bottom w:type="dxa" w:w="80"/>
              <w:right w:type="dxa" w:w="120"/>
            </w:tcMar>
            <w:vAlign w:val="center"/>
          </w:tcPr>
          <w:p>
            <w:pPr>
              <w:pStyle w:val="MdTableCell"/>
            </w:pPr>
            <w:r>
              <w:t xml:space="preserve">V payment status only; no refunds</w:t>
            </w:r>
          </w:p>
        </w:tc>
        <w:tc>
          <w:tcPr>
            <w:tcMar>
              <w:top w:type="dxa" w:w="80"/>
              <w:left w:type="dxa" w:w="120"/>
              <w:bottom w:type="dxa" w:w="80"/>
              <w:right w:type="dxa" w:w="120"/>
            </w:tcMar>
            <w:vAlign w:val="center"/>
          </w:tcPr>
          <w:p>
            <w:pPr>
              <w:pStyle w:val="MdTableCell"/>
            </w:pPr>
            <w:r>
              <w:t xml:space="preserve">V minimum customer profile; E contact preferences/notes; A ticket closure/goodwill within threshold</w:t>
            </w:r>
          </w:p>
        </w:tc>
        <w:tc>
          <w:tcPr>
            <w:tcMar>
              <w:top w:type="dxa" w:w="80"/>
              <w:left w:type="dxa" w:w="120"/>
              <w:bottom w:type="dxa" w:w="80"/>
              <w:right w:type="dxa" w:w="120"/>
            </w:tcMar>
            <w:vAlign w:val="center"/>
          </w:tcPr>
          <w:p>
            <w:pPr>
              <w:pStyle w:val="MdTableCell"/>
            </w:pPr>
            <w:r>
              <w:t xml:space="preserve">None</w:t>
            </w:r>
          </w:p>
        </w:tc>
        <w:tc>
          <w:tcPr>
            <w:tcBorders>
              <w:right w:val="none"/>
            </w:tcBorders>
            <w:tcMar>
              <w:top w:type="dxa" w:w="80"/>
              <w:left w:type="dxa" w:w="120"/>
              <w:bottom w:type="dxa" w:w="80"/>
              <w:right w:type="dxa" w:w="120"/>
            </w:tcMar>
            <w:vAlign w:val="center"/>
          </w:tcPr>
          <w:p>
            <w:pPr>
              <w:pStyle w:val="MdTableCell"/>
            </w:pPr>
            <w:r>
              <w:t xml:space="preserve">X ticket/complaint reports with PII minimization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Customer — External principal</w:t>
            </w:r>
          </w:p>
        </w:tc>
        <w:tc>
          <w:tcPr>
            <w:tcBorders>
              <w:bottom w:val="single" w:color="E1E4E8" w:sz="4"/>
            </w:tcBorders>
            <w:tcMar>
              <w:top w:type="dxa" w:w="80"/>
              <w:left w:type="dxa" w:w="120"/>
              <w:bottom w:type="dxa" w:w="80"/>
              <w:right w:type="dxa" w:w="120"/>
            </w:tcMar>
            <w:vAlign w:val="center"/>
          </w:tcPr>
          <w:p>
            <w:pPr>
              <w:pStyle w:val="MdTableCell"/>
            </w:pPr>
            <w:r>
              <w:t xml:space="preserve">V public listings and inspection highlights; own orders/bookings</w:t>
            </w:r>
          </w:p>
        </w:tc>
        <w:tc>
          <w:tcPr>
            <w:tcBorders>
              <w:bottom w:val="single" w:color="E1E4E8" w:sz="4"/>
            </w:tcBorders>
            <w:tcMar>
              <w:top w:type="dxa" w:w="80"/>
              <w:left w:type="dxa" w:w="120"/>
              <w:bottom w:type="dxa" w:w="80"/>
              <w:right w:type="dxa" w:w="120"/>
            </w:tcMar>
            <w:vAlign w:val="center"/>
          </w:tcPr>
          <w:p>
            <w:pPr>
              <w:pStyle w:val="MdTableCell"/>
            </w:pPr>
            <w:r>
              <w:t xml:space="preserve">V explicitly shared documents</w:t>
            </w:r>
          </w:p>
        </w:tc>
        <w:tc>
          <w:tcPr>
            <w:tcBorders>
              <w:bottom w:val="single" w:color="E1E4E8" w:sz="4"/>
            </w:tcBorders>
            <w:tcMar>
              <w:top w:type="dxa" w:w="80"/>
              <w:left w:type="dxa" w:w="120"/>
              <w:bottom w:type="dxa" w:w="80"/>
              <w:right w:type="dxa" w:w="120"/>
            </w:tcMar>
            <w:vAlign w:val="center"/>
          </w:tcPr>
          <w:p>
            <w:pPr>
              <w:pStyle w:val="MdTableCell"/>
            </w:pPr>
            <w:r>
              <w:t xml:space="preserve">C inquiry, booking, quote request, required uploads; A own terms/booking/payment authorization; E uncommitted requests only</w:t>
            </w:r>
          </w:p>
        </w:tc>
        <w:tc>
          <w:tcPr>
            <w:tcBorders>
              <w:bottom w:val="single" w:color="E1E4E8" w:sz="4"/>
            </w:tcBorders>
            <w:tcMar>
              <w:top w:type="dxa" w:w="80"/>
              <w:left w:type="dxa" w:w="120"/>
              <w:bottom w:type="dxa" w:w="80"/>
              <w:right w:type="dxa" w:w="120"/>
            </w:tcMar>
            <w:vAlign w:val="center"/>
          </w:tcPr>
          <w:p>
            <w:pPr>
              <w:pStyle w:val="MdTableCell"/>
            </w:pPr>
            <w:r>
              <w:t xml:space="preserve">V own receipts/status; no raw payment data</w:t>
            </w:r>
          </w:p>
        </w:tc>
        <w:tc>
          <w:tcPr>
            <w:tcBorders>
              <w:bottom w:val="single" w:color="E1E4E8" w:sz="4"/>
            </w:tcBorders>
            <w:tcMar>
              <w:top w:type="dxa" w:w="80"/>
              <w:left w:type="dxa" w:w="120"/>
              <w:bottom w:type="dxa" w:w="80"/>
              <w:right w:type="dxa" w:w="120"/>
            </w:tcMar>
            <w:vAlign w:val="center"/>
          </w:tcPr>
          <w:p>
            <w:pPr>
              <w:pStyle w:val="MdTableCell"/>
            </w:pPr>
            <w:r>
              <w:t xml:space="preserve">V/E own profile and communications</w:t>
            </w:r>
          </w:p>
        </w:tc>
        <w:tc>
          <w:tcPr>
            <w:tcBorders>
              <w:bottom w:val="single" w:color="E1E4E8" w:sz="4"/>
            </w:tcBorders>
            <w:tcMar>
              <w:top w:type="dxa" w:w="80"/>
              <w:left w:type="dxa" w:w="120"/>
              <w:bottom w:type="dxa" w:w="80"/>
              <w:right w:type="dxa" w:w="120"/>
            </w:tcMar>
            <w:vAlign w:val="center"/>
          </w:tcPr>
          <w:p>
            <w:pPr>
              <w:pStyle w:val="MdTableCell"/>
            </w:pPr>
            <w:r>
              <w:t xml:space="preserve">None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X own receipts, agreements, and legally required export</w:t>
            </w:r>
          </w:p>
        </w:tc>
      </w:tr>
    </w:tbl>
    <w:p>
      <w:pPr>
        <w:pStyle w:val="MdParagraph"/>
      </w:pPr>
      <w:r>
        <w:rPr>
          <w:rStyle w:val="MdStrong"/>
          <w:b/>
          <w:bCs/>
        </w:rPr>
        <w:t xml:space="preserve">[RECOMMENDATION]</w:t>
      </w:r>
      <w:r>
        <w:t xml:space="preserve"> Treat exports as privileged transactions. Require a report type, business reason, row and date limits, field masking, watermark, expiry, recipient authorization, and an audit record of the exact filter. Require second approval for high-volume or identity-document exports.</w:t>
      </w:r>
    </w:p>
    <w:p>
      <w:pPr>
        <w:pStyle w:val="MdSpace"/>
        <w:spacing w:before="0" w:after="60"/>
      </w:pPr>
    </w:p>
    <w:p>
      <w:pPr>
        <w:pStyle w:val="Heading3"/>
        <w:pStyle w:val="MdHeading3"/>
      </w:pPr>
      <w:r>
        <w:t xml:space="preserve">5.3 Approval tiers</w:t>
      </w:r>
    </w:p>
    <w:p>
      <w:pPr>
        <w:pStyle w:val="MdParagraph"/>
      </w:pPr>
      <w:r>
        <w:t xml:space="preserve">The following are </w:t>
      </w:r>
      <w:r>
        <w:rPr>
          <w:rStyle w:val="MdStrong"/>
          <w:b/>
          <w:bCs/>
        </w:rPr>
        <w:t xml:space="preserve">starting controls, not Nigerian legal thresholds</w:t>
      </w:r>
      <w:r>
        <w:t xml:space="preserve">. They should be versioned, reviewed quarterly, and evaluated using both absolute amount and percentage of vehicle value.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Decision</w:t>
            </w:r>
          </w:p>
        </w:tc>
        <w:tc>
          <w:tcPr>
            <w:tcMar>
              <w:top w:type="dxa" w:w="100"/>
              <w:left w:type="dxa" w:w="120"/>
              <w:bottom w:type="dxa" w:w="100"/>
              <w:right w:type="dxa" w:w="120"/>
            </w:tcMar>
            <w:vAlign w:val="center"/>
          </w:tcPr>
          <w:p>
            <w:pPr>
              <w:pStyle w:val="MdTableHeader"/>
            </w:pPr>
            <w:r>
              <w:t xml:space="preserve">Suggested first-line limit</w:t>
            </w:r>
          </w:p>
        </w:tc>
        <w:tc>
          <w:tcPr>
            <w:tcBorders>
              <w:right w:val="none"/>
            </w:tcBorders>
            <w:tcMar>
              <w:top w:type="dxa" w:w="100"/>
              <w:left w:type="dxa" w:w="120"/>
              <w:bottom w:type="dxa" w:w="100"/>
              <w:right w:type="dxa" w:w="120"/>
            </w:tcMar>
            <w:vAlign w:val="center"/>
          </w:tcPr>
          <w:p>
            <w:pPr>
              <w:pStyle w:val="MdTableHeader"/>
            </w:pPr>
            <w:r>
              <w:t xml:space="preserve">Escalation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Sales discount</w:t>
            </w:r>
          </w:p>
        </w:tc>
        <w:tc>
          <w:tcPr>
            <w:tcMar>
              <w:top w:type="dxa" w:w="80"/>
              <w:left w:type="dxa" w:w="120"/>
              <w:bottom w:type="dxa" w:w="80"/>
              <w:right w:type="dxa" w:w="120"/>
            </w:tcMar>
            <w:vAlign w:val="center"/>
          </w:tcPr>
          <w:p>
            <w:pPr>
              <w:pStyle w:val="MdTableCell"/>
            </w:pPr>
            <w:r>
              <w:t xml:space="preserve">Lower of 2% or ₦250,000 by authorized sales manager</w:t>
            </w:r>
          </w:p>
        </w:tc>
        <w:tc>
          <w:tcPr>
            <w:tcBorders>
              <w:right w:val="none"/>
            </w:tcBorders>
            <w:tcMar>
              <w:top w:type="dxa" w:w="80"/>
              <w:left w:type="dxa" w:w="120"/>
              <w:bottom w:type="dxa" w:w="80"/>
              <w:right w:type="dxa" w:w="120"/>
            </w:tcMar>
            <w:vAlign w:val="center"/>
          </w:tcPr>
          <w:p>
            <w:pPr>
              <w:pStyle w:val="MdTableCell"/>
            </w:pPr>
            <w:r>
              <w:t xml:space="preserve">Above that to 5% or ₦1,000,000: operations plus finance review; above 5% or ₦1,000,000: two approvers including finance and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High-value/related-party/title exception</w:t>
            </w:r>
          </w:p>
        </w:tc>
        <w:tc>
          <w:tcPr>
            <w:tcMar>
              <w:top w:type="dxa" w:w="80"/>
              <w:left w:type="dxa" w:w="120"/>
              <w:bottom w:type="dxa" w:w="80"/>
              <w:right w:type="dxa" w:w="120"/>
            </w:tcMar>
            <w:vAlign w:val="center"/>
          </w:tcPr>
          <w:p>
            <w:pPr>
              <w:pStyle w:val="MdTableCell"/>
            </w:pPr>
            <w:r>
              <w:t xml:space="preserve">None at ordinary branch level</w:t>
            </w:r>
          </w:p>
        </w:tc>
        <w:tc>
          <w:tcPr>
            <w:tcBorders>
              <w:right w:val="none"/>
            </w:tcBorders>
            <w:tcMar>
              <w:top w:type="dxa" w:w="80"/>
              <w:left w:type="dxa" w:w="120"/>
              <w:bottom w:type="dxa" w:w="80"/>
              <w:right w:type="dxa" w:w="120"/>
            </w:tcMar>
            <w:vAlign w:val="center"/>
          </w:tcPr>
          <w:p>
            <w:pPr>
              <w:pStyle w:val="MdTableCell"/>
            </w:pPr>
            <w:r>
              <w:t xml:space="preserve">Above ₦5,000,000, related-party, or title/inspection exception: owner/board-level business approval plus finance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Rental extension/goodwill</w:t>
            </w:r>
          </w:p>
        </w:tc>
        <w:tc>
          <w:tcPr>
            <w:tcMar>
              <w:top w:type="dxa" w:w="80"/>
              <w:left w:type="dxa" w:w="120"/>
              <w:bottom w:type="dxa" w:w="80"/>
              <w:right w:type="dxa" w:w="120"/>
            </w:tcMar>
            <w:vAlign w:val="center"/>
          </w:tcPr>
          <w:p>
            <w:pPr>
              <w:pStyle w:val="MdTableCell"/>
            </w:pPr>
            <w:r>
              <w:t xml:space="preserve">Up to ₦100,000 by rental/operations management</w:t>
            </w:r>
          </w:p>
        </w:tc>
        <w:tc>
          <w:tcPr>
            <w:tcBorders>
              <w:right w:val="none"/>
            </w:tcBorders>
            <w:tcMar>
              <w:top w:type="dxa" w:w="80"/>
              <w:left w:type="dxa" w:w="120"/>
              <w:bottom w:type="dxa" w:w="80"/>
              <w:right w:type="dxa" w:w="120"/>
            </w:tcMar>
            <w:vAlign w:val="center"/>
          </w:tcPr>
          <w:p>
            <w:pPr>
              <w:pStyle w:val="MdTableCell"/>
            </w:pPr>
            <w:r>
              <w:t xml:space="preserve">Damage settlement or refund above ₦100,000: operations plus finance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Payment batch</w:t>
            </w:r>
          </w:p>
        </w:tc>
        <w:tc>
          <w:tcPr>
            <w:tcMar>
              <w:top w:type="dxa" w:w="80"/>
              <w:left w:type="dxa" w:w="120"/>
              <w:bottom w:type="dxa" w:w="80"/>
              <w:right w:type="dxa" w:w="120"/>
            </w:tcMar>
            <w:vAlign w:val="center"/>
          </w:tcPr>
          <w:p>
            <w:pPr>
              <w:pStyle w:val="MdTableCell"/>
            </w:pPr>
            <w:r>
              <w:t xml:space="preserve">Finance prepares</w:t>
            </w:r>
          </w:p>
        </w:tc>
        <w:tc>
          <w:tcPr>
            <w:tcBorders>
              <w:right w:val="none"/>
            </w:tcBorders>
            <w:tcMar>
              <w:top w:type="dxa" w:w="80"/>
              <w:left w:type="dxa" w:w="120"/>
              <w:bottom w:type="dxa" w:w="80"/>
              <w:right w:type="dxa" w:w="120"/>
            </w:tcMar>
            <w:vAlign w:val="center"/>
          </w:tcPr>
          <w:p>
            <w:pPr>
              <w:pStyle w:val="MdTableCell"/>
            </w:pPr>
            <w:r>
              <w:t xml:space="preserve">Different approver releases; independent person or automated report reconciles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Refund destination</w:t>
            </w:r>
          </w:p>
        </w:tc>
        <w:tc>
          <w:tcPr>
            <w:tcBorders>
              <w:bottom w:val="single" w:color="E1E4E8" w:sz="4"/>
            </w:tcBorders>
            <w:tcMar>
              <w:top w:type="dxa" w:w="80"/>
              <w:left w:type="dxa" w:w="120"/>
              <w:bottom w:type="dxa" w:w="80"/>
              <w:right w:type="dxa" w:w="120"/>
            </w:tcMar>
            <w:vAlign w:val="center"/>
          </w:tcPr>
          <w:p>
            <w:pPr>
              <w:pStyle w:val="MdTableCell"/>
            </w:pPr>
            <w:r>
              <w:t xml:space="preserve">Verified original payer/account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Different destination requires separate approval, reason, and audit evidence</w:t>
            </w:r>
          </w:p>
        </w:tc>
      </w:tr>
    </w:tbl>
    <w:p>
      <w:pPr>
        <w:pStyle w:val="Heading2"/>
        <w:pStyle w:val="MdHeading2"/>
      </w:pPr>
      <w:r>
        <w:t xml:space="preserve">6. Customer journeys and workflow state machines</w:t>
      </w:r>
    </w:p>
    <w:p>
      <w:pPr>
        <w:pStyle w:val="Heading3"/>
        <w:pStyle w:val="MdHeading3"/>
      </w:pPr>
      <w:r>
        <w:t xml:space="preserve">6.1 Common case model</w:t>
      </w:r>
    </w:p>
    <w:p>
      <w:pPr>
        <w:pStyle w:val="MdParagraph"/>
      </w:pPr>
      <w:r>
        <w:t xml:space="preserve">Every case has </w:t>
      </w:r>
      <w:r>
        <w:rPr>
          <w:rStyle w:val="MdCode"/>
          <w:u w:val="single"/>
        </w:rPr>
        <w:t xml:space="preserve">case_id</w:t>
      </w:r>
      <w:r>
        <w:t xml:space="preserve">, entity links, owner, queue, priority, next action, </w:t>
      </w:r>
      <w:r>
        <w:rPr>
          <w:rStyle w:val="MdCode"/>
          <w:u w:val="single"/>
        </w:rPr>
        <w:t xml:space="preserve">due_at</w:t>
      </w:r>
      <w:r>
        <w:t xml:space="preserve">, SLA clock, blocked reason, policy version, evidence references, customer-visible status, internal reason code, and event history. The shared case state is:</w:t>
      </w:r>
    </w:p>
    <w:p>
      <w:pPr>
        <w:pStyle w:val="MdSpace"/>
        <w:spacing w:before="0" w:after="60"/>
      </w:pPr>
    </w:p>
    <w:p>
      <w:pPr>
        <w:pStyle w:val="MdParagraph"/>
      </w:pPr>
      <w:r>
        <w:rPr>
          <w:rStyle w:val="MdCode"/>
          <w:u w:val="single"/>
        </w:rPr>
        <w:t xml:space="preserve">NEW → TRIAGED → IN_PROGRESS → WAITING_CUSTOMER or WAITING_PARTNER → BLOCKED/ESCALATED → RESOLVED → CLOSED</w:t>
      </w:r>
    </w:p>
    <w:p>
      <w:pPr>
        <w:pStyle w:val="MdSpace"/>
        <w:spacing w:before="0" w:after="60"/>
      </w:pPr>
    </w:p>
    <w:p>
      <w:pPr>
        <w:pStyle w:val="MdParagraph"/>
      </w:pPr>
      <w:r>
        <w:rPr>
          <w:rStyle w:val="MdCode"/>
          <w:u w:val="single"/>
        </w:rPr>
        <w:t xml:space="preserve">REOPENED</w:t>
      </w:r>
      <w:r>
        <w:t xml:space="preserve"> is allowed when new evidence arrives. Each transition records actor or service, UTC timestamp, reason, evidence reference, correlation ID, and notification outcome. Customer-facing statuses should be plain-language, timestamped, and paired with the next action and exception route.</w:t>
      </w:r>
    </w:p>
    <w:p>
      <w:pPr>
        <w:pStyle w:val="MdSpace"/>
        <w:spacing w:before="0" w:after="60"/>
      </w:pPr>
    </w:p>
    <w:p>
      <w:pPr>
        <w:pStyle w:val="Heading3"/>
        <w:pStyle w:val="MdHeading3"/>
      </w:pPr>
      <w:r>
        <w:t xml:space="preserve">6.2 Registration and identity</w:t>
      </w:r>
    </w:p>
    <w:p>
      <w:pPr>
        <w:pStyle w:val="MdParagraph"/>
      </w:pPr>
      <w:r>
        <w:rPr>
          <w:rStyle w:val="MdCode"/>
          <w:u w:val="single"/>
        </w:rPr>
        <w:t xml:space="preserve">SIGNUP_STARTED → CONTACT_VERIFIED → IDENTITY_PENDING → IDENTITY_VERIFIED → PROFILE_COMPLETE → ACTIVE</w:t>
      </w:r>
    </w:p>
    <w:p>
      <w:pPr>
        <w:pStyle w:val="MdSpace"/>
        <w:spacing w:before="0" w:after="60"/>
      </w:pPr>
    </w:p>
    <w:p>
      <w:pPr>
        <w:pStyle w:val="MdParagraph"/>
      </w:pPr>
      <w:r>
        <w:t xml:space="preserve">Failure routes to </w:t>
      </w:r>
      <w:r>
        <w:rPr>
          <w:rStyle w:val="MdCode"/>
          <w:u w:val="single"/>
        </w:rPr>
        <w:t xml:space="preserve">VERIFICATION_FAILED → RESUBMIT</w:t>
      </w:r>
      <w:r>
        <w:t xml:space="preserve"> or </w:t>
      </w:r>
      <w:r>
        <w:rPr>
          <w:rStyle w:val="MdCode"/>
          <w:u w:val="single"/>
        </w:rPr>
        <w:t xml:space="preserve">SUSPENDED</w:t>
      </w:r>
      <w:r>
        <w:t xml:space="preserve">. Required records are account, consent and communication preferences, identity/KYC result, address, payment-token reference, driver verification where rentals apply, risk decision, and audit log. Staff may review exceptions, request evidence, merge duplicates, or apply fraud holds, but every adverse action requires a reason code and review path.</w:t>
      </w:r>
    </w:p>
    <w:p>
      <w:pPr>
        <w:pStyle w:val="MdSpace"/>
        <w:spacing w:before="0" w:after="60"/>
      </w:pPr>
    </w:p>
    <w:p>
      <w:pPr>
        <w:pStyle w:val="MdParagraph"/>
      </w:pPr>
      <w:r>
        <w:t xml:space="preserve">Customer-visible statuses: “Verify your contact details,” “Verification in progress,” “Verified,” “More information required,” and “Account restricted.”</w:t>
      </w:r>
    </w:p>
    <w:p>
      <w:pPr>
        <w:pStyle w:val="MdSpace"/>
        <w:spacing w:before="0" w:after="60"/>
      </w:pPr>
    </w:p>
    <w:p>
      <w:pPr>
        <w:pStyle w:val="Heading3"/>
        <w:pStyle w:val="MdHeading3"/>
      </w:pPr>
      <w:r>
        <w:t xml:space="preserve">6.3 Discovery and inquiry</w:t>
      </w:r>
    </w:p>
    <w:p>
      <w:pPr>
        <w:pStyle w:val="MdParagraph"/>
      </w:pPr>
      <w:r>
        <w:rPr>
          <w:rStyle w:val="MdCode"/>
          <w:u w:val="single"/>
        </w:rPr>
        <w:t xml:space="preserve">SEARCHING → VEHICLE_VIEWED → SAVED/COMPARED → INQUIRY_SUBMITTED → ACKNOWLEDGED → QUALIFIED → APPOINTMENT_BOOKED → ANSWERED/CONVERTED</w:t>
      </w:r>
    </w:p>
    <w:p>
      <w:pPr>
        <w:pStyle w:val="MdSpace"/>
        <w:spacing w:before="0" w:after="60"/>
      </w:pPr>
    </w:p>
    <w:p>
      <w:pPr>
        <w:pStyle w:val="MdParagraph"/>
      </w:pPr>
      <w:r>
        <w:t xml:space="preserve">Alternate exits are </w:t>
      </w:r>
      <w:r>
        <w:rPr>
          <w:rStyle w:val="MdCode"/>
          <w:u w:val="single"/>
        </w:rPr>
        <w:t xml:space="preserve">SPAM</w:t>
      </w:r>
      <w:r>
        <w:t xml:space="preserve">, </w:t>
      </w:r>
      <w:r>
        <w:rPr>
          <w:rStyle w:val="MdCode"/>
          <w:u w:val="single"/>
        </w:rPr>
        <w:t xml:space="preserve">EXPIRED</w:t>
      </w:r>
      <w:r>
        <w:t xml:space="preserve">, and </w:t>
      </w:r>
      <w:r>
        <w:rPr>
          <w:rStyle w:val="MdCode"/>
          <w:u w:val="single"/>
        </w:rPr>
        <w:t xml:space="preserve">CLOSED_NO_RESPONSE</w:t>
      </w:r>
      <w:r>
        <w:t xml:space="preserve">. Store the search event, listing snapshot/version, lead source, question, consent, response SLA, appointment, and transcript. The lead router should deduplicate and assign by geography and product. Customer-visible states include “Available,” “Checking availability,” “Inquiry received,” “Agent assigned,” and “Inspection scheduled.”</w:t>
      </w:r>
    </w:p>
    <w:p>
      <w:pPr>
        <w:pStyle w:val="MdSpace"/>
        <w:spacing w:before="0" w:after="60"/>
      </w:pPr>
    </w:p>
    <w:p>
      <w:pPr>
        <w:pStyle w:val="Heading3"/>
        <w:pStyle w:val="MdHeading3"/>
      </w:pPr>
      <w:r>
        <w:t xml:space="preserve">6.4 Sell-car lead and acquisition</w:t>
      </w:r>
    </w:p>
    <w:p>
      <w:pPr>
        <w:pStyle w:val="MdParagraph"/>
      </w:pPr>
      <w:r>
        <w:rPr>
          <w:rStyle w:val="MdCode"/>
          <w:u w:val="single"/>
        </w:rPr>
        <w:t xml:space="preserve">LEAD_CAPTURED → VIN/VEHICLE_VALIDATED → DOCUMENTS_PENDING → REMOTE_OFFER_READY → INSPECTION_BOOKED → INSPECTED → OFFER_CONFIRMED/REVISED → ACCEPTED → TITLE_LIEN_CLEARANCE → COLLECTION_SCHEDULED → ACQUIRED → INVENTORY_ONBOARDING</w:t>
      </w:r>
    </w:p>
    <w:p>
      <w:pPr>
        <w:pStyle w:val="MdSpace"/>
        <w:spacing w:before="0" w:after="60"/>
      </w:pPr>
    </w:p>
    <w:p>
      <w:pPr>
        <w:pStyle w:val="MdParagraph"/>
      </w:pPr>
      <w:r>
        <w:t xml:space="preserve">Decline and expiry route to </w:t>
      </w:r>
      <w:r>
        <w:rPr>
          <w:rStyle w:val="MdCode"/>
          <w:u w:val="single"/>
        </w:rPr>
        <w:t xml:space="preserve">REJECTED</w:t>
      </w:r>
      <w:r>
        <w:t xml:space="preserve"> or </w:t>
      </w:r>
      <w:r>
        <w:rPr>
          <w:rStyle w:val="MdCode"/>
          <w:u w:val="single"/>
        </w:rPr>
        <w:t xml:space="preserve">EXPIRED</w:t>
      </w:r>
      <w:r>
        <w:t xml:space="preserve">. Required evidence includes VIN, title/registration, odometer, lienholder/payoff, keys, condition questionnaire, photos, history/recall checks, valuation inputs, offer version and expiry, inspection report, purchase agreement, payment, pickup proof, and chain of custody.</w:t>
      </w:r>
    </w:p>
    <w:p>
      <w:pPr>
        <w:pStyle w:val="MdSpace"/>
        <w:spacing w:before="0" w:after="60"/>
      </w:pPr>
    </w:p>
    <w:p>
      <w:pPr>
        <w:pStyle w:val="MdParagraph"/>
      </w:pPr>
      <w:r>
        <w:rPr>
          <w:rStyle w:val="MdStrong"/>
          <w:b/>
          <w:bCs/>
        </w:rPr>
        <w:t xml:space="preserve">[RECOMMENDATION]</w:t>
      </w:r>
      <w:r>
        <w:t xml:space="preserve"> Pay only after the vehicle, identity, title/lien status, keys, mileage, and observed condition pass final verification. Quarantine discrepancies rather than allowing a sales or finance user to “work around” the state machine.</w:t>
      </w:r>
    </w:p>
    <w:p>
      <w:pPr>
        <w:pStyle w:val="MdSpace"/>
        <w:spacing w:before="0" w:after="60"/>
      </w:pPr>
    </w:p>
    <w:p>
      <w:pPr>
        <w:pStyle w:val="Heading3"/>
        <w:pStyle w:val="MdHeading3"/>
      </w:pPr>
      <w:r>
        <w:t xml:space="preserve">6.5 Vehicle intake, inspection, and listing approval</w:t>
      </w:r>
    </w:p>
    <w:p>
      <w:pPr>
        <w:pStyle w:val="MdParagraph"/>
      </w:pPr>
      <w:r>
        <w:rPr>
          <w:rStyle w:val="MdCode"/>
          <w:u w:val="single"/>
        </w:rPr>
        <w:t xml:space="preserve">RECEIVED → INTAKE_SCAN → SAFETY/MECHANICAL_INSPECTION → HISTORY/TITLE/RECALL_CHECK → RECON_ESTIMATE → RECON_IN_PROGRESS → QUALITY_CONTROL → CONTENT_READY → COMPLIANCE_REVIEW → APPROVED_PUBLISHED</w:t>
      </w:r>
    </w:p>
    <w:p>
      <w:pPr>
        <w:pStyle w:val="MdSpace"/>
        <w:spacing w:before="0" w:after="60"/>
      </w:pPr>
    </w:p>
    <w:p>
      <w:pPr>
        <w:pStyle w:val="MdParagraph"/>
      </w:pPr>
      <w:r>
        <w:t xml:space="preserve">Exceptions are </w:t>
      </w:r>
      <w:r>
        <w:rPr>
          <w:rStyle w:val="MdCode"/>
          <w:u w:val="single"/>
        </w:rPr>
        <w:t xml:space="preserve">HOLD_FOR_DOCUMENTS</w:t>
      </w:r>
      <w:r>
        <w:t xml:space="preserve">, </w:t>
      </w:r>
      <w:r>
        <w:rPr>
          <w:rStyle w:val="MdCode"/>
          <w:u w:val="single"/>
        </w:rPr>
        <w:t xml:space="preserve">REPAIR_REQUIRED</w:t>
      </w:r>
      <w:r>
        <w:t xml:space="preserve">, </w:t>
      </w:r>
      <w:r>
        <w:rPr>
          <w:rStyle w:val="MdCode"/>
          <w:u w:val="single"/>
        </w:rPr>
        <w:t xml:space="preserve">PRICE_REVIEW</w:t>
      </w:r>
      <w:r>
        <w:t xml:space="preserve">, and </w:t>
      </w:r>
      <w:r>
        <w:rPr>
          <w:rStyle w:val="MdCode"/>
          <w:u w:val="single"/>
        </w:rPr>
        <w:t xml:space="preserve">REJECTED</w:t>
      </w:r>
      <w:r>
        <w:t xml:space="preserve">. Required records include VIN decode, title/lien result, history and recall result, standardized inspection checklist, diagnostic codes, odometer and photo evidence, repair estimates/invoices, safety sign-off, warranty/as-is terms, pricing calculation, listing version, media consent, and approver.</w:t>
      </w:r>
    </w:p>
    <w:p>
      <w:pPr>
        <w:pStyle w:val="MdSpace"/>
        <w:spacing w:before="0" w:after="60"/>
      </w:pPr>
    </w:p>
    <w:p>
      <w:pPr>
        <w:pStyle w:val="MdParagraph"/>
      </w:pPr>
      <w:r>
        <w:t xml:space="preserve">The publish gate blocks missing title, unresolved safety defects, mismatched VIN, material evidence conflict, and unverified ownership. After publication, inspection evidence and ownership evidence are locked. A correction becomes a new version with reason and independent approval.</w:t>
      </w:r>
    </w:p>
    <w:p>
      <w:pPr>
        <w:pStyle w:val="MdSpace"/>
        <w:spacing w:before="0" w:after="60"/>
      </w:pPr>
    </w:p>
    <w:p>
      <w:pPr>
        <w:pStyle w:val="Heading3"/>
        <w:pStyle w:val="MdHeading3"/>
      </w:pPr>
      <w:r>
        <w:t xml:space="preserve">6.6 Purchase, reservation, payment, and handoff</w:t>
      </w:r>
    </w:p>
    <w:p>
      <w:pPr>
        <w:pStyle w:val="MdParagraph"/>
      </w:pPr>
      <w:r>
        <w:rPr>
          <w:rStyle w:val="MdCode"/>
          <w:u w:val="single"/>
        </w:rPr>
        <w:t xml:space="preserve">RESERVATION_REQUESTED → ELIGIBILITY_CHECK → HOLD_CREATED → CONTRACT/DISCLOSURES_ACCEPTED → PAYMENT_AUTHORIZED → FUNDS_SECURED → DELIVERY_SCHEDULED → HANDOFF_PENDING → CUSTOMER_INSPECTION → ACCEPTED_AND_RELEASED → COMPLETED</w:t>
      </w:r>
    </w:p>
    <w:p>
      <w:pPr>
        <w:pStyle w:val="MdSpace"/>
        <w:spacing w:before="0" w:after="60"/>
      </w:pPr>
    </w:p>
    <w:p>
      <w:pPr>
        <w:pStyle w:val="MdParagraph"/>
      </w:pPr>
      <w:r>
        <w:t xml:space="preserve">Exceptions are </w:t>
      </w:r>
      <w:r>
        <w:rPr>
          <w:rStyle w:val="MdCode"/>
          <w:u w:val="single"/>
        </w:rPr>
        <w:t xml:space="preserve">PAYMENT_FAILED</w:t>
      </w:r>
      <w:r>
        <w:t xml:space="preserve">, </w:t>
      </w:r>
      <w:r>
        <w:rPr>
          <w:rStyle w:val="MdCode"/>
          <w:u w:val="single"/>
        </w:rPr>
        <w:t xml:space="preserve">HOLD_EXPIRED</w:t>
      </w:r>
      <w:r>
        <w:t xml:space="preserve">, </w:t>
      </w:r>
      <w:r>
        <w:rPr>
          <w:rStyle w:val="MdCode"/>
          <w:u w:val="single"/>
        </w:rPr>
        <w:t xml:space="preserve">TITLE_BLOCKED</w:t>
      </w:r>
      <w:r>
        <w:t xml:space="preserve">, </w:t>
      </w:r>
      <w:r>
        <w:rPr>
          <w:rStyle w:val="MdCode"/>
          <w:u w:val="single"/>
        </w:rPr>
        <w:t xml:space="preserve">CANCELED</w:t>
      </w:r>
      <w:r>
        <w:t xml:space="preserve">, </w:t>
      </w:r>
      <w:r>
        <w:rPr>
          <w:rStyle w:val="MdCode"/>
          <w:u w:val="single"/>
        </w:rPr>
        <w:t xml:space="preserve">DISPUTE</w:t>
      </w:r>
      <w:r>
        <w:t xml:space="preserve">, and </w:t>
      </w:r>
      <w:r>
        <w:rPr>
          <w:rStyle w:val="MdCode"/>
          <w:u w:val="single"/>
        </w:rPr>
        <w:t xml:space="preserve">RETURN_PENDING</w:t>
      </w:r>
      <w:r>
        <w:t xml:space="preserve">. A reservation must atomically lock a vehicle with an expiry or fail. Store quote and out-the-door price, taxes and fees, signed disclosures, payment events, title packet, delivery appointment, handoff photos/signatures, and release decision.</w:t>
      </w:r>
    </w:p>
    <w:p>
      <w:pPr>
        <w:pStyle w:val="MdSpace"/>
        <w:spacing w:before="0" w:after="60"/>
      </w:pPr>
    </w:p>
    <w:p>
      <w:pPr>
        <w:pStyle w:val="MdParagraph"/>
      </w:pPr>
      <w:r>
        <w:rPr>
          <w:rStyle w:val="MdStrong"/>
          <w:b/>
          <w:bCs/>
        </w:rPr>
        <w:t xml:space="preserve">[LEGAL—CONFIRM]</w:t>
      </w:r>
      <w:r>
        <w:t xml:space="preserve"> If ShabaAutos holds funds pending acceptance, counsel and the PSP must confirm whether the structure is regulated escrow, marketplace settlement, or another arrangement. The customer contract must define custody, release trigger, dispute process, timeout, chargeback allocation, and reconciliation responsibility. Public escrow-like examples are operating patterns, not authority to operate a regulated service. </w:t>
      </w:r>
      <w:hyperlink w:history="1" r:id="rId2clfncgwjwrolo2lkkqcz">
        <w:r>
          <w:rPr>
            <w:rStyle w:val="MdLink"/>
          </w:rPr>
          <w:t xml:space="preserve">15</w:t>
        </w:r>
      </w:hyperlink>
    </w:p>
    <w:p>
      <w:pPr>
        <w:pStyle w:val="MdSpace"/>
        <w:spacing w:before="0" w:after="60"/>
      </w:pPr>
    </w:p>
    <w:p>
      <w:pPr>
        <w:pStyle w:val="Heading3"/>
        <w:pStyle w:val="MdHeading3"/>
      </w:pPr>
      <w:r>
        <w:t xml:space="preserve">6.7 Delivery, acceptance, and return</w:t>
      </w:r>
    </w:p>
    <w:p>
      <w:pPr>
        <w:pStyle w:val="MdParagraph"/>
      </w:pPr>
      <w:r>
        <w:rPr>
          <w:rStyle w:val="MdCode"/>
          <w:u w:val="single"/>
        </w:rPr>
        <w:t xml:space="preserve">DELIVERY_BOOKED → DISPATCHED → ARRIVING → DELIVERED → ACCEPTANCE_WINDOW_OPEN → ACCEPTED</w:t>
      </w:r>
    </w:p>
    <w:p>
      <w:pPr>
        <w:pStyle w:val="MdSpace"/>
        <w:spacing w:before="0" w:after="60"/>
      </w:pPr>
    </w:p>
    <w:p>
      <w:pPr>
        <w:pStyle w:val="MdParagraph"/>
      </w:pPr>
      <w:r>
        <w:t xml:space="preserve">Or: </w:t>
      </w:r>
      <w:r>
        <w:rPr>
          <w:rStyle w:val="MdCode"/>
          <w:u w:val="single"/>
        </w:rPr>
        <w:t xml:space="preserve">RETURN_REQUESTED → RETURN_AUTHORIZED → RETURN_IN_TRANSIT → RETURN_INSPECTED → REFUND_APPROVED → REFUNDED/RELISTED</w:t>
      </w:r>
      <w:r>
        <w:t xml:space="preserve">. Damage, missing item, late, or failed delivery opens </w:t>
      </w:r>
      <w:r>
        <w:rPr>
          <w:rStyle w:val="MdCode"/>
          <w:u w:val="single"/>
        </w:rPr>
        <w:t xml:space="preserve">CLAIM_OPEN</w:t>
      </w:r>
      <w:r>
        <w:t xml:space="preserve"> and may quarantine the vehicle.</w:t>
      </w:r>
    </w:p>
    <w:p>
      <w:pPr>
        <w:pStyle w:val="MdSpace"/>
        <w:spacing w:before="0" w:after="60"/>
      </w:pPr>
    </w:p>
    <w:p>
      <w:pPr>
        <w:pStyle w:val="MdParagraph"/>
      </w:pPr>
      <w:r>
        <w:t xml:space="preserve">The exact return window, mileage, condition, fees, and refund timing must be displayed before confirmation and retained with the customer’s accepted policy version. </w:t>
      </w:r>
      <w:r>
        <w:rPr>
          <w:rStyle w:val="MdStrong"/>
          <w:b/>
          <w:bCs/>
        </w:rPr>
        <w:t xml:space="preserve">[RESEARCHED REQUIREMENT]</w:t>
      </w:r>
      <w:r>
        <w:t xml:space="preserve"> Federal U.S. guidance states that federal law generally does not require a three-day used-car cancellation right, while public commercial policies may offer a different window. This demonstrates why ShabaAutos must not import a foreign policy into Nigeria without counsel. </w:t>
      </w:r>
      <w:hyperlink w:history="1" r:id="rIdcjqaqjahyutmefvlk01-f">
        <w:r>
          <w:rPr>
            <w:rStyle w:val="MdLink"/>
          </w:rPr>
          <w:t xml:space="preserve">16</w:t>
        </w:r>
      </w:hyperlink>
      <w:r>
        <w:t xml:space="preserve"> </w:t>
      </w:r>
      <w:hyperlink w:history="1" r:id="rIdhvrtkp4e28fisugxqfxhh">
        <w:r>
          <w:rPr>
            <w:rStyle w:val="MdLink"/>
          </w:rPr>
          <w:t xml:space="preserve">13</w:t>
        </w:r>
      </w:hyperlink>
    </w:p>
    <w:p>
      <w:pPr>
        <w:pStyle w:val="MdSpace"/>
        <w:spacing w:before="0" w:after="60"/>
      </w:pPr>
    </w:p>
    <w:p>
      <w:pPr>
        <w:pStyle w:val="Heading3"/>
        <w:pStyle w:val="MdHeading3"/>
      </w:pPr>
      <w:r>
        <w:t xml:space="preserve">6.8 Rental booking and trip</w:t>
      </w:r>
    </w:p>
    <w:p>
      <w:pPr>
        <w:pStyle w:val="MdParagraph"/>
      </w:pPr>
      <w:r>
        <w:rPr>
          <w:rStyle w:val="MdCode"/>
          <w:u w:val="single"/>
        </w:rPr>
        <w:t xml:space="preserve">SEARCH_DATES → VEHICLE_SELECTED → DRIVER/LICENSE_VERIFIED → PRICE_AND_PROTECTION_SHOWN → BOOKING_REQUESTED → PAYMENT_AUTHORIZED → CONFIRMED → PRE_TRIP_CHECKLIST_COMPLETE → PICKUP/CHECK_IN → ACTIVE_TRIP → RETURN_CHECK_IN → DAMAGE/ODOMETER_RECONCILIATION → DEPOSIT_RELEASED → CLOSED</w:t>
      </w:r>
    </w:p>
    <w:p>
      <w:pPr>
        <w:pStyle w:val="MdSpace"/>
        <w:spacing w:before="0" w:after="60"/>
      </w:pPr>
    </w:p>
    <w:p>
      <w:pPr>
        <w:pStyle w:val="MdParagraph"/>
      </w:pPr>
      <w:r>
        <w:t xml:space="preserve">Branches include </w:t>
      </w:r>
      <w:r>
        <w:rPr>
          <w:rStyle w:val="MdCode"/>
          <w:u w:val="single"/>
        </w:rPr>
        <w:t xml:space="preserve">MODIFY</w:t>
      </w:r>
      <w:r>
        <w:t xml:space="preserve">, </w:t>
      </w:r>
      <w:r>
        <w:rPr>
          <w:rStyle w:val="MdCode"/>
          <w:u w:val="single"/>
        </w:rPr>
        <w:t xml:space="preserve">CANCEL_FULL/PARTIAL/NO_REFUND</w:t>
      </w:r>
      <w:r>
        <w:t xml:space="preserve">, </w:t>
      </w:r>
      <w:r>
        <w:rPr>
          <w:rStyle w:val="MdCode"/>
          <w:u w:val="single"/>
        </w:rPr>
        <w:t xml:space="preserve">NO_SHOW</w:t>
      </w:r>
      <w:r>
        <w:t xml:space="preserve">, </w:t>
      </w:r>
      <w:r>
        <w:rPr>
          <w:rStyle w:val="MdCode"/>
          <w:u w:val="single"/>
        </w:rPr>
        <w:t xml:space="preserve">OPERATOR_CANCEL</w:t>
      </w:r>
      <w:r>
        <w:t xml:space="preserve">, </w:t>
      </w:r>
      <w:r>
        <w:rPr>
          <w:rStyle w:val="MdCode"/>
          <w:u w:val="single"/>
        </w:rPr>
        <w:t xml:space="preserve">SAFETY_REJECT</w:t>
      </w:r>
      <w:r>
        <w:t xml:space="preserve">, </w:t>
      </w:r>
      <w:r>
        <w:rPr>
          <w:rStyle w:val="MdCode"/>
          <w:u w:val="single"/>
        </w:rPr>
        <w:t xml:space="preserve">DAMAGE_CLAIM</w:t>
      </w:r>
      <w:r>
        <w:t xml:space="preserve">, and </w:t>
      </w:r>
      <w:r>
        <w:rPr>
          <w:rStyle w:val="MdCode"/>
          <w:u w:val="single"/>
        </w:rPr>
        <w:t xml:space="preserve">SUPPORT_ESCALATION</w:t>
      </w:r>
      <w:r>
        <w:t xml:space="preserve">. Payment approval is not driver eligibility. Recheck identity, license, authorized driver, vehicle class, insurance/protection, and safety status at pickup.</w:t>
      </w:r>
    </w:p>
    <w:p>
      <w:pPr>
        <w:pStyle w:val="MdSpace"/>
        <w:spacing w:before="0" w:after="60"/>
      </w:pPr>
    </w:p>
    <w:p>
      <w:pPr>
        <w:pStyle w:val="MdParagraph"/>
      </w:pPr>
      <w:r>
        <w:rPr>
          <w:rStyle w:val="MdStrong"/>
          <w:b/>
          <w:bCs/>
        </w:rPr>
        <w:t xml:space="preserve">[LEGAL—CONFIRM]</w:t>
      </w:r>
      <w:r>
        <w:t xml:space="preserve"> Rental eligibility, age, license, insurance, deposit, geographic limits, and additional-driver rules require insurer and counsel confirmation. FRSC verification resources may be useful, but access rights, permitted purpose, and data-sharing terms must be confirmed before integration. </w:t>
      </w:r>
      <w:hyperlink w:history="1" r:id="rIdbz3odingl5h0vd3kjwfeq">
        <w:r>
          <w:rPr>
            <w:rStyle w:val="MdLink"/>
          </w:rPr>
          <w:t xml:space="preserve">8</w:t>
        </w:r>
      </w:hyperlink>
      <w:r>
        <w:t xml:space="preserve"> </w:t>
      </w:r>
      <w:hyperlink w:history="1" r:id="rIdphv9aoxtitbdj8qb4kbnt">
        <w:r>
          <w:rPr>
            <w:rStyle w:val="MdLink"/>
          </w:rPr>
          <w:t xml:space="preserve">36</w:t>
        </w:r>
      </w:hyperlink>
    </w:p>
    <w:p>
      <w:pPr>
        <w:pStyle w:val="MdSpace"/>
        <w:spacing w:before="0" w:after="60"/>
      </w:pPr>
    </w:p>
    <w:p>
      <w:pPr>
        <w:pStyle w:val="Heading3"/>
        <w:pStyle w:val="MdHeading3"/>
      </w:pPr>
      <w:r>
        <w:t xml:space="preserve">6.9 Import quote and shipment</w:t>
      </w:r>
    </w:p>
    <w:p>
      <w:pPr>
        <w:pStyle w:val="MdParagraph"/>
      </w:pPr>
      <w:r>
        <w:rPr>
          <w:rStyle w:val="MdCode"/>
          <w:u w:val="single"/>
        </w:rPr>
        <w:t xml:space="preserve">IMPORT_LEAD → ROUTE/ELIGIBILITY_CHECK → DOCUMENTS_REQUESTED → VEHICLE/REGULATORY_PRECHECK → QUOTE_DRAFT → QUOTE_ACCEPTED/DEPOSIT_PAID → PURCHASE_AUTHORIZED → EXPORT_BOOKED → PICKUP_ORIGIN → EXPORT_CUSTOMS → LOADED/SAILING → IN_TRANSIT → ARRIVED_PORT → IMPORT_CUSTOMS_REVIEW → DUTIES/TAXES_PAID → RELEASED → INLAND_DELIVERY → RECEIVED/INSPECTED → LISTING/HANDOFF</w:t>
      </w:r>
    </w:p>
    <w:p>
      <w:pPr>
        <w:pStyle w:val="MdSpace"/>
        <w:spacing w:before="0" w:after="60"/>
      </w:pPr>
    </w:p>
    <w:p>
      <w:pPr>
        <w:pStyle w:val="MdParagraph"/>
      </w:pPr>
      <w:r>
        <w:t xml:space="preserve">Exceptions include </w:t>
      </w:r>
      <w:r>
        <w:rPr>
          <w:rStyle w:val="MdCode"/>
          <w:u w:val="single"/>
        </w:rPr>
        <w:t xml:space="preserve">DOCUMENT_DEFICIENCY</w:t>
      </w:r>
      <w:r>
        <w:t xml:space="preserve">, </w:t>
      </w:r>
      <w:r>
        <w:rPr>
          <w:rStyle w:val="MdCode"/>
          <w:u w:val="single"/>
        </w:rPr>
        <w:t xml:space="preserve">CUSTOMS_HOLD</w:t>
      </w:r>
      <w:r>
        <w:t xml:space="preserve">, </w:t>
      </w:r>
      <w:r>
        <w:rPr>
          <w:rStyle w:val="MdCode"/>
          <w:u w:val="single"/>
        </w:rPr>
        <w:t xml:space="preserve">INSPECTION</w:t>
      </w:r>
      <w:r>
        <w:t xml:space="preserve">, </w:t>
      </w:r>
      <w:r>
        <w:rPr>
          <w:rStyle w:val="MdCode"/>
          <w:u w:val="single"/>
        </w:rPr>
        <w:t xml:space="preserve">DAMAGE</w:t>
      </w:r>
      <w:r>
        <w:t xml:space="preserve">, </w:t>
      </w:r>
      <w:r>
        <w:rPr>
          <w:rStyle w:val="MdCode"/>
          <w:u w:val="single"/>
        </w:rPr>
        <w:t xml:space="preserve">DEMURRAGE</w:t>
      </w:r>
      <w:r>
        <w:t xml:space="preserve">, </w:t>
      </w:r>
      <w:r>
        <w:rPr>
          <w:rStyle w:val="MdCode"/>
          <w:u w:val="single"/>
        </w:rPr>
        <w:t xml:space="preserve">ROUTE_CHANGE</w:t>
      </w:r>
      <w:r>
        <w:t xml:space="preserve">, </w:t>
      </w:r>
      <w:r>
        <w:rPr>
          <w:rStyle w:val="MdCode"/>
          <w:u w:val="single"/>
        </w:rPr>
        <w:t xml:space="preserve">REJECTED</w:t>
      </w:r>
      <w:r>
        <w:t xml:space="preserve">, and </w:t>
      </w:r>
      <w:r>
        <w:rPr>
          <w:rStyle w:val="MdCode"/>
          <w:u w:val="single"/>
        </w:rPr>
        <w:t xml:space="preserve">CANCELED</w:t>
      </w:r>
      <w:r>
        <w:t xml:space="preserve">. The quote must separate included costs, assumptions, exclusions, validity, taxes/duties uncertainty, broker fees, demurrage responsibility, and change-order rules. Public customs guidance shows that original documents, accurate declarations, inspections, and duty assessment affect clearance timing. </w:t>
      </w:r>
      <w:hyperlink w:history="1" r:id="rId9dydf_bcbqpepzryfwi_o">
        <w:r>
          <w:rPr>
            <w:rStyle w:val="MdLink"/>
          </w:rPr>
          <w:t xml:space="preserve">19</w:t>
        </w:r>
      </w:hyperlink>
      <w:r>
        <w:t xml:space="preserve"> </w:t>
      </w:r>
      <w:hyperlink w:history="1" r:id="rIdcvj1p8l3epjqxc2q3zkmp">
        <w:r>
          <w:rPr>
            <w:rStyle w:val="MdLink"/>
          </w:rPr>
          <w:t xml:space="preserve">20</w:t>
        </w:r>
      </w:hyperlink>
    </w:p>
    <w:p>
      <w:pPr>
        <w:pStyle w:val="MdSpace"/>
        <w:spacing w:before="0" w:after="60"/>
      </w:pPr>
    </w:p>
    <w:p>
      <w:pPr>
        <w:pStyle w:val="Heading3"/>
        <w:pStyle w:val="MdHeading3"/>
      </w:pPr>
      <w:r>
        <w:t xml:space="preserve">6.10 After-sales support</w:t>
      </w:r>
    </w:p>
    <w:p>
      <w:pPr>
        <w:pStyle w:val="MdParagraph"/>
      </w:pPr>
      <w:r>
        <w:rPr>
          <w:rStyle w:val="MdCode"/>
          <w:u w:val="single"/>
        </w:rPr>
        <w:t xml:space="preserve">CASE_CREATED → TRIAGED → CLASSIFIED → APPOINTMENT/VENDOR_ASSIGNED → DIAGNOSIS → AUTHORIZATION/ADJUDICATION → REPAIR/REMEDY_IN_PROGRESS → CUSTOMER_CONFIRMATION → RESOLVED → CLOSED</w:t>
      </w:r>
    </w:p>
    <w:p>
      <w:pPr>
        <w:pStyle w:val="MdSpace"/>
        <w:spacing w:before="0" w:after="60"/>
      </w:pPr>
    </w:p>
    <w:p>
      <w:pPr>
        <w:pStyle w:val="MdParagraph"/>
      </w:pPr>
      <w:r>
        <w:t xml:space="preserve">Safety, recall, or stranded cases route to </w:t>
      </w:r>
      <w:r>
        <w:rPr>
          <w:rStyle w:val="MdCode"/>
          <w:u w:val="single"/>
        </w:rPr>
        <w:t xml:space="preserve">SAFETY_HOLD</w:t>
      </w:r>
      <w:r>
        <w:t xml:space="preserve"> or </w:t>
      </w:r>
      <w:r>
        <w:rPr>
          <w:rStyle w:val="MdCode"/>
          <w:u w:val="single"/>
        </w:rPr>
        <w:t xml:space="preserve">ESCALATED</w:t>
      </w:r>
      <w:r>
        <w:t xml:space="preserve">. Support cannot close a safety case without a documented remedy or safety-owner sign-off. VIN recall lookup and complaint escalation should be available as controlled operational tools. </w:t>
      </w:r>
      <w:hyperlink w:history="1" r:id="rIdm2bdgfglrgnr9ff12cneq">
        <w:r>
          <w:rPr>
            <w:rStyle w:val="MdLink"/>
          </w:rPr>
          <w:t xml:space="preserve">23</w:t>
        </w:r>
      </w:hyperlink>
      <w:r>
        <w:t xml:space="preserve"> </w:t>
      </w:r>
      <w:hyperlink w:history="1" r:id="rIdj29-o1ebg6pdia1fk2-28">
        <w:r>
          <w:rPr>
            <w:rStyle w:val="MdLink"/>
          </w:rPr>
          <w:t xml:space="preserve">24</w:t>
        </w:r>
      </w:hyperlink>
    </w:p>
    <w:p>
      <w:pPr>
        <w:pStyle w:val="MdSpace"/>
        <w:spacing w:before="0" w:after="60"/>
      </w:pPr>
    </w:p>
    <w:p>
      <w:pPr>
        <w:pStyle w:val="Heading2"/>
        <w:pStyle w:val="MdHeading2"/>
      </w:pPr>
      <w:r>
        <w:t xml:space="preserve">7. Inventory, listing, and approval process</w:t>
      </w:r>
    </w:p>
    <w:p>
      <w:pPr>
        <w:pStyle w:val="Heading3"/>
        <w:pStyle w:val="MdHeading3"/>
      </w:pPr>
      <w:r>
        <w:t xml:space="preserve">7.1 Canonical inventory states</w:t>
      </w:r>
    </w:p>
    <w:p>
      <w:pPr>
        <w:pStyle w:val="MdParagraph"/>
      </w:pPr>
      <w:r>
        <w:t xml:space="preserve">A vehicle’s operational inventory state is one of: </w:t>
      </w:r>
      <w:r>
        <w:rPr>
          <w:rStyle w:val="MdCode"/>
          <w:u w:val="single"/>
        </w:rPr>
        <w:t xml:space="preserve">AVAILABLE</w:t>
      </w:r>
      <w:r>
        <w:t xml:space="preserve">, </w:t>
      </w:r>
      <w:r>
        <w:rPr>
          <w:rStyle w:val="MdCode"/>
          <w:u w:val="single"/>
        </w:rPr>
        <w:t xml:space="preserve">HELD</w:t>
      </w:r>
      <w:r>
        <w:t xml:space="preserve">, </w:t>
      </w:r>
      <w:r>
        <w:rPr>
          <w:rStyle w:val="MdCode"/>
          <w:u w:val="single"/>
        </w:rPr>
        <w:t xml:space="preserve">RESERVED</w:t>
      </w:r>
      <w:r>
        <w:t xml:space="preserve">, </w:t>
      </w:r>
      <w:r>
        <w:rPr>
          <w:rStyle w:val="MdCode"/>
          <w:u w:val="single"/>
        </w:rPr>
        <w:t xml:space="preserve">IN_TRANSIT</w:t>
      </w:r>
      <w:r>
        <w:t xml:space="preserve">, </w:t>
      </w:r>
      <w:r>
        <w:rPr>
          <w:rStyle w:val="MdCode"/>
          <w:u w:val="single"/>
        </w:rPr>
        <w:t xml:space="preserve">DELIVERED</w:t>
      </w:r>
      <w:r>
        <w:t xml:space="preserve">, </w:t>
      </w:r>
      <w:r>
        <w:rPr>
          <w:rStyle w:val="MdCode"/>
          <w:u w:val="single"/>
        </w:rPr>
        <w:t xml:space="preserve">RETURN_PENDING</w:t>
      </w:r>
      <w:r>
        <w:t xml:space="preserve">, </w:t>
      </w:r>
      <w:r>
        <w:rPr>
          <w:rStyle w:val="MdCode"/>
          <w:u w:val="single"/>
        </w:rPr>
        <w:t xml:space="preserve">QUARANTINED</w:t>
      </w:r>
      <w:r>
        <w:t xml:space="preserve">, </w:t>
      </w:r>
      <w:r>
        <w:rPr>
          <w:rStyle w:val="MdCode"/>
          <w:u w:val="single"/>
        </w:rPr>
        <w:t xml:space="preserve">SOLD</w:t>
      </w:r>
      <w:r>
        <w:t xml:space="preserve">, </w:t>
      </w:r>
      <w:r>
        <w:rPr>
          <w:rStyle w:val="MdCode"/>
          <w:u w:val="single"/>
        </w:rPr>
        <w:t xml:space="preserve">RENTAL_BLOCKED</w:t>
      </w:r>
      <w:r>
        <w:t xml:space="preserve">, or </w:t>
      </w:r>
      <w:r>
        <w:rPr>
          <w:rStyle w:val="MdCode"/>
          <w:u w:val="single"/>
        </w:rPr>
        <w:t xml:space="preserve">ARCHIVED</w:t>
      </w:r>
      <w:r>
        <w:t xml:space="preserve">. A separate commercial state can represent listing status. Do not use a single free-text status for custody, safety, availability, and sale state.</w:t>
      </w:r>
    </w:p>
    <w:p>
      <w:pPr>
        <w:pStyle w:val="MdSpace"/>
        <w:spacing w:before="0" w:after="60"/>
      </w:pPr>
    </w:p>
    <w:p>
      <w:pPr>
        <w:pStyle w:val="Heading3"/>
        <w:pStyle w:val="MdHeading3"/>
      </w:pPr>
      <w:r>
        <w:t xml:space="preserve">7.2 Listing approval gate</w:t>
      </w:r>
    </w:p>
    <w:p>
      <w:pPr>
        <w:pStyle w:val="MdParagraph"/>
      </w:pPr>
      <w:r>
        <w:t xml:space="preserve">A listing may enter </w:t>
      </w:r>
      <w:r>
        <w:rPr>
          <w:rStyle w:val="MdCode"/>
          <w:u w:val="single"/>
        </w:rPr>
        <w:t xml:space="preserve">CONTENT_READY</w:t>
      </w:r>
      <w:r>
        <w:t xml:space="preserve"> only when the canonical vehicle record has a verified VIN, location, ownership evidence, current condition evidence, consistent mileage, media provenance, pricing calculation, and a named owner. </w:t>
      </w:r>
      <w:r>
        <w:rPr>
          <w:rStyle w:val="MdCode"/>
          <w:u w:val="single"/>
        </w:rPr>
        <w:t xml:space="preserve">COMPLIANCE_REVIEW</w:t>
      </w:r>
      <w:r>
        <w:t xml:space="preserve"> verifies title/ownership, liens, recalls, safety, mandatory disclosures, insurance or rental evidence where applicable, and customer-visible policy terms. </w:t>
      </w:r>
      <w:r>
        <w:rPr>
          <w:rStyle w:val="MdCode"/>
          <w:u w:val="single"/>
        </w:rPr>
        <w:t xml:space="preserve">APPROVED_PUBLISHED</w:t>
      </w:r>
      <w:r>
        <w:t xml:space="preserve"> requires an approver who did not create or materially edit the listing.</w:t>
      </w:r>
    </w:p>
    <w:p>
      <w:pPr>
        <w:pStyle w:val="MdSpace"/>
        <w:spacing w:before="0" w:after="60"/>
      </w:pPr>
    </w:p>
    <w:p>
      <w:pPr>
        <w:pStyle w:val="MdParagraph"/>
      </w:pPr>
      <w:r>
        <w:t xml:space="preserve">The listing must show verified facts separately from seller assertions. Sensitive documents remain masked and permissioned. The public listing should expose only the minimum needed for a purchase decision: vehicle identity summary, condition highlights, price, fees, availability, warranty/as-is terms, and inspection date/version.</w:t>
      </w:r>
    </w:p>
    <w:p>
      <w:pPr>
        <w:pStyle w:val="MdSpace"/>
        <w:spacing w:before="0" w:after="60"/>
      </w:pPr>
    </w:p>
    <w:p>
      <w:pPr>
        <w:pStyle w:val="Heading3"/>
        <w:pStyle w:val="MdHeading3"/>
      </w:pPr>
      <w:r>
        <w:t xml:space="preserve">7.3 Change control after publication</w:t>
      </w:r>
    </w:p>
    <w:p>
      <w:pPr>
        <w:pStyle w:val="MdParagraph"/>
      </w:pPr>
      <w:r>
        <w:t xml:space="preserve">Material edits to VIN, ownership, title, lien, mileage, safety result, accident/flood/salvage disclosure, price, warranty, or availability create a new listing version. The old version remains retained for dispute and audit purposes. A safety, identity, or title change automatically unpublishes or quarantines the unit pending review.</w:t>
      </w:r>
    </w:p>
    <w:p>
      <w:pPr>
        <w:pStyle w:val="MdSpace"/>
        <w:spacing w:before="0" w:after="60"/>
      </w:pPr>
    </w:p>
    <w:p>
      <w:pPr>
        <w:pStyle w:val="Heading2"/>
        <w:pStyle w:val="MdHeading2"/>
      </w:pPr>
      <w:r>
        <w:t xml:space="preserve">8. Operations playbooks</w:t>
      </w:r>
    </w:p>
    <w:p>
      <w:pPr>
        <w:pStyle w:val="Heading3"/>
        <w:pStyle w:val="MdHeading3"/>
      </w:pPr>
      <w:r>
        <w:t xml:space="preserve">8.1 Sell-car operations</w:t>
      </w:r>
    </w:p>
    <w:p>
      <w:pPr>
        <w:pStyle w:val="MdParagraph"/>
      </w:pPr>
      <w:r>
        <w:t xml:space="preserve">The acquisition specialist owns the case from lead capture through collection. The document controller validates seller identity, ownership, lien payoff, registration, and vehicle identifiers. The inspector compares declared condition with physical evidence. Finance pays only after acceptance and verified beneficiary/original payer rules. Inventory records custody and location. Any discrepancy routes to quarantine, a reason-coded offer revision, or rejection.</w:t>
      </w:r>
    </w:p>
    <w:p>
      <w:pPr>
        <w:pStyle w:val="MdSpace"/>
        <w:spacing w:before="0" w:after="60"/>
      </w:pPr>
    </w:p>
    <w:p>
      <w:pPr>
        <w:pStyle w:val="Heading3"/>
        <w:pStyle w:val="MdHeading3"/>
      </w:pPr>
      <w:r>
        <w:t xml:space="preserve">8.2 Rental operations</w:t>
      </w:r>
    </w:p>
    <w:p>
      <w:pPr>
        <w:pStyle w:val="MdParagraph"/>
      </w:pPr>
      <w:r>
        <w:t xml:space="preserve">Rental operations maintains a capacity calendar that excludes maintenance, recall, quarantine, existing reservations, and operational holds. The branch or host captures pre-trip and post-trip photos, mileage, fuel/charge, keys, and incidents. Claims staff—not the check-out operator—adjudicate damage. Finance releases deposits or charges extras after evidence review and policy calculation. Customer-facing screens show cancellation, no-show, late return, protection, deposit, and damage consequences before confirmation.</w:t>
      </w:r>
    </w:p>
    <w:p>
      <w:pPr>
        <w:pStyle w:val="MdSpace"/>
        <w:spacing w:before="0" w:after="60"/>
      </w:pPr>
    </w:p>
    <w:p>
      <w:pPr>
        <w:pStyle w:val="Heading3"/>
        <w:pStyle w:val="MdHeading3"/>
      </w:pPr>
      <w:r>
        <w:t xml:space="preserve">8.3 Import operations</w:t>
      </w:r>
    </w:p>
    <w:p>
      <w:pPr>
        <w:pStyle w:val="MdParagraph"/>
      </w:pPr>
      <w:r>
        <w:t xml:space="preserve">The import specialist owns eligibility and quote assumptions. The document controller validates source documents. A licensed broker handles customs entry where required. Logistics owns carrier and milestone visibility. Compliance blocks nonconforming vehicles. Receiving inspects damage, seals, documents, mileage, and accessories. Every delay must have an owner, next action, customer-visible status, and change-order record. Do not promise a fixed delivery date or all-in price when customs, duty reassessment, inspection, or demurrage remains uncertain.</w:t>
      </w:r>
    </w:p>
    <w:p>
      <w:pPr>
        <w:pStyle w:val="MdSpace"/>
        <w:spacing w:before="0" w:after="60"/>
      </w:pPr>
    </w:p>
    <w:p>
      <w:pPr>
        <w:pStyle w:val="Heading2"/>
        <w:pStyle w:val="MdHeading2"/>
      </w:pPr>
      <w:r>
        <w:t xml:space="preserve">9. Notification architecture</w:t>
      </w:r>
    </w:p>
    <w:p>
      <w:pPr>
        <w:pStyle w:val="Heading3"/>
        <w:pStyle w:val="MdHeading3"/>
      </w:pPr>
      <w:r>
        <w:t xml:space="preserve">9.1 Architecture</w:t>
      </w:r>
    </w:p>
    <w:p>
      <w:pPr>
        <w:pStyle w:val="MdParagraph"/>
      </w:pPr>
      <w:r>
        <w:rPr>
          <w:rStyle w:val="MdStrong"/>
          <w:b/>
          <w:bCs/>
        </w:rPr>
        <w:t xml:space="preserve">[RECOMMENDATION]</w:t>
      </w:r>
      <w:r>
        <w:t xml:space="preserve"> Implement an event-driven notification service with an in-app notification center as the canonical inbox. Use email, SMS, WhatsApp, and push as channel adapters. Write the business transaction and transactional outbox row in one database transaction. Publish committed events at least once. Use an inbox table, stable </w:t>
      </w:r>
      <w:r>
        <w:rPr>
          <w:rStyle w:val="MdCode"/>
          <w:u w:val="single"/>
        </w:rPr>
        <w:t xml:space="preserve">event_id</w:t>
      </w:r>
      <w:r>
        <w:t xml:space="preserve">, unique dedupe key, and idempotent consumers. Exactly-once delivery across external providers is not realistic; target effectively-once logical notification creation with auditable attempts. This follows the supplied outbox and idempotent-consumer research. </w:t>
      </w:r>
      <w:hyperlink w:history="1" r:id="rIde-ufapsjgl8qpefggyzc8">
        <w:r>
          <w:rPr>
            <w:rStyle w:val="MdLink"/>
          </w:rPr>
          <w:t xml:space="preserve">40</w:t>
        </w:r>
      </w:hyperlink>
      <w:r>
        <w:t xml:space="preserve"> </w:t>
      </w:r>
      <w:hyperlink w:history="1" r:id="rIdvk7vzxi8lworbu672wdqo">
        <w:r>
          <w:rPr>
            <w:rStyle w:val="MdLink"/>
          </w:rPr>
          <w:t xml:space="preserve">41</w:t>
        </w:r>
      </w:hyperlink>
    </w:p>
    <w:p>
      <w:pPr>
        <w:pStyle w:val="MdSpace"/>
        <w:spacing w:before="0" w:after="60"/>
      </w:pPr>
    </w:p>
    <w:p>
      <w:pPr>
        <w:pStyle w:val="MdParagraph"/>
      </w:pPr>
      <w:r>
        <w:t xml:space="preserve">Provider callbacks are asynchronous evidence. They can be delayed, duplicated, missing, or out of order. Persist provider identifiers, normalize statuses, authenticate callbacks, reject replay, and reconcile provider events against internal records. </w:t>
      </w:r>
      <w:hyperlink w:history="1" r:id="rIdfqi0rshepggkdafgnfuno">
        <w:r>
          <w:rPr>
            <w:rStyle w:val="MdLink"/>
          </w:rPr>
          <w:t xml:space="preserve">42</w:t>
        </w:r>
      </w:hyperlink>
      <w:r>
        <w:t xml:space="preserve"> </w:t>
      </w:r>
      <w:hyperlink w:history="1" r:id="rIdcyjger_tcrpghfnkv62xg">
        <w:r>
          <w:rPr>
            <w:rStyle w:val="MdLink"/>
          </w:rPr>
          <w:t xml:space="preserve">43</w:t>
        </w:r>
      </w:hyperlink>
    </w:p>
    <w:p>
      <w:pPr>
        <w:pStyle w:val="MdSpace"/>
        <w:spacing w:before="0" w:after="60"/>
      </w:pPr>
    </w:p>
    <w:p>
      <w:pPr>
        <w:pStyle w:val="Heading3"/>
        <w:pStyle w:val="MdHeading3"/>
      </w:pPr>
      <w:r>
        <w:t xml:space="preserve">9.2 Notification data model</w:t>
      </w:r>
    </w:p>
    <w:p>
      <w:pPr>
        <w:pStyle w:val="MdParagraph"/>
      </w:pPr>
      <w:r>
        <w:t xml:space="preserve">Core entities are </w:t>
      </w:r>
      <w:r>
        <w:rPr>
          <w:rStyle w:val="MdCode"/>
          <w:u w:val="single"/>
        </w:rPr>
        <w:t xml:space="preserve">notification</w:t>
      </w:r>
      <w:r>
        <w:t xml:space="preserve">, </w:t>
      </w:r>
      <w:r>
        <w:rPr>
          <w:rStyle w:val="MdCode"/>
          <w:u w:val="single"/>
        </w:rPr>
        <w:t xml:space="preserve">notification_recipient</w:t>
      </w:r>
      <w:r>
        <w:t xml:space="preserve">, </w:t>
      </w:r>
      <w:r>
        <w:rPr>
          <w:rStyle w:val="MdCode"/>
          <w:u w:val="single"/>
        </w:rPr>
        <w:t xml:space="preserve">delivery</w:t>
      </w:r>
      <w:r>
        <w:t xml:space="preserve">, </w:t>
      </w:r>
      <w:r>
        <w:rPr>
          <w:rStyle w:val="MdCode"/>
          <w:u w:val="single"/>
        </w:rPr>
        <w:t xml:space="preserve">delivery_attempt</w:t>
      </w:r>
      <w:r>
        <w:t xml:space="preserve">, </w:t>
      </w:r>
      <w:r>
        <w:rPr>
          <w:rStyle w:val="MdCode"/>
          <w:u w:val="single"/>
        </w:rPr>
        <w:t xml:space="preserve">preference</w:t>
      </w:r>
      <w:r>
        <w:t xml:space="preserve">, </w:t>
      </w:r>
      <w:r>
        <w:rPr>
          <w:rStyle w:val="MdCode"/>
          <w:u w:val="single"/>
        </w:rPr>
        <w:t xml:space="preserve">endpoint</w:t>
      </w:r>
      <w:r>
        <w:t xml:space="preserve">, </w:t>
      </w:r>
      <w:r>
        <w:rPr>
          <w:rStyle w:val="MdCode"/>
          <w:u w:val="single"/>
        </w:rPr>
        <w:t xml:space="preserve">template</w:t>
      </w:r>
      <w:r>
        <w:t xml:space="preserve">, </w:t>
      </w:r>
      <w:r>
        <w:rPr>
          <w:rStyle w:val="MdCode"/>
          <w:u w:val="single"/>
        </w:rPr>
        <w:t xml:space="preserve">outbox</w:t>
      </w:r>
      <w:r>
        <w:t xml:space="preserve">, </w:t>
      </w:r>
      <w:r>
        <w:rPr>
          <w:rStyle w:val="MdCode"/>
          <w:u w:val="single"/>
        </w:rPr>
        <w:t xml:space="preserve">inbox</w:t>
      </w:r>
      <w:r>
        <w:t xml:space="preserve">, </w:t>
      </w:r>
      <w:r>
        <w:rPr>
          <w:rStyle w:val="MdCode"/>
          <w:u w:val="single"/>
        </w:rPr>
        <w:t xml:space="preserve">escalation</w:t>
      </w:r>
      <w:r>
        <w:t xml:space="preserve">, and </w:t>
      </w:r>
      <w:r>
        <w:rPr>
          <w:rStyle w:val="MdCode"/>
          <w:u w:val="single"/>
        </w:rPr>
        <w:t xml:space="preserve">audit_log</w:t>
      </w:r>
      <w:r>
        <w:t xml:space="preserve">. Store encrypted payload references or classified fields rather than copying unnecessary PII into provider metadata. Version templates immutably, validate variable schemas, record locale, template version, consent snapshot, rendered-content hash, and policy version.</w:t>
      </w:r>
    </w:p>
    <w:p>
      <w:pPr>
        <w:pStyle w:val="MdSpace"/>
        <w:spacing w:before="0" w:after="60"/>
      </w:pPr>
    </w:p>
    <w:p>
      <w:pPr>
        <w:pStyle w:val="Heading3"/>
        <w:pStyle w:val="MdHeading3"/>
      </w:pPr>
      <w:r>
        <w:t xml:space="preserve">9.3 Event-to-recipient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Event</w:t>
            </w:r>
          </w:p>
        </w:tc>
        <w:tc>
          <w:tcPr>
            <w:tcMar>
              <w:top w:type="dxa" w:w="100"/>
              <w:left w:type="dxa" w:w="120"/>
              <w:bottom w:type="dxa" w:w="100"/>
              <w:right w:type="dxa" w:w="120"/>
            </w:tcMar>
            <w:vAlign w:val="center"/>
          </w:tcPr>
          <w:p>
            <w:pPr>
              <w:pStyle w:val="MdTableHeader"/>
            </w:pPr>
            <w:r>
              <w:t xml:space="preserve">Recipients</w:t>
            </w:r>
          </w:p>
        </w:tc>
        <w:tc>
          <w:tcPr>
            <w:tcMar>
              <w:top w:type="dxa" w:w="100"/>
              <w:left w:type="dxa" w:w="120"/>
              <w:bottom w:type="dxa" w:w="100"/>
              <w:right w:type="dxa" w:w="120"/>
            </w:tcMar>
            <w:vAlign w:val="center"/>
          </w:tcPr>
          <w:p>
            <w:pPr>
              <w:pStyle w:val="MdTableHeader"/>
            </w:pPr>
            <w:r>
              <w:t xml:space="preserve">Primary channel</w:t>
            </w:r>
          </w:p>
        </w:tc>
        <w:tc>
          <w:tcPr>
            <w:tcBorders>
              <w:right w:val="none"/>
            </w:tcBorders>
            <w:tcMar>
              <w:top w:type="dxa" w:w="100"/>
              <w:left w:type="dxa" w:w="120"/>
              <w:bottom w:type="dxa" w:w="100"/>
              <w:right w:type="dxa" w:w="120"/>
            </w:tcMar>
            <w:vAlign w:val="center"/>
          </w:tcPr>
          <w:p>
            <w:pPr>
              <w:pStyle w:val="MdTableHeader"/>
            </w:pPr>
            <w:r>
              <w:t xml:space="preserve">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Login from new device, password reset, contact change, suspicious activity</w:t>
            </w:r>
          </w:p>
        </w:tc>
        <w:tc>
          <w:tcPr>
            <w:tcMar>
              <w:top w:type="dxa" w:w="80"/>
              <w:left w:type="dxa" w:w="120"/>
              <w:bottom w:type="dxa" w:w="80"/>
              <w:right w:type="dxa" w:w="120"/>
            </w:tcMar>
            <w:vAlign w:val="center"/>
          </w:tcPr>
          <w:p>
            <w:pPr>
              <w:pStyle w:val="MdTableCell"/>
            </w:pPr>
            <w:r>
              <w:t xml:space="preserve">Affected customer; fraud queue for high risk</w:t>
            </w:r>
          </w:p>
        </w:tc>
        <w:tc>
          <w:tcPr>
            <w:tcMar>
              <w:top w:type="dxa" w:w="80"/>
              <w:left w:type="dxa" w:w="120"/>
              <w:bottom w:type="dxa" w:w="80"/>
              <w:right w:type="dxa" w:w="120"/>
            </w:tcMar>
            <w:vAlign w:val="center"/>
          </w:tcPr>
          <w:p>
            <w:pPr>
              <w:pStyle w:val="MdTableCell"/>
            </w:pPr>
            <w:r>
              <w:t xml:space="preserve">In-app plus privacy-safe push; email/SMS when justified</w:t>
            </w:r>
          </w:p>
        </w:tc>
        <w:tc>
          <w:tcPr>
            <w:tcBorders>
              <w:right w:val="none"/>
            </w:tcBorders>
            <w:tcMar>
              <w:top w:type="dxa" w:w="80"/>
              <w:left w:type="dxa" w:w="120"/>
              <w:bottom w:type="dxa" w:w="80"/>
              <w:right w:type="dxa" w:w="120"/>
            </w:tcMar>
            <w:vAlign w:val="center"/>
          </w:tcPr>
          <w:p>
            <w:pPr>
              <w:pStyle w:val="MdTableCell"/>
            </w:pPr>
            <w:r>
              <w:t xml:space="preserve">Generic lock-screen text; step-up authentication for sensitive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Listing created, published, rejected, price changed</w:t>
            </w:r>
          </w:p>
        </w:tc>
        <w:tc>
          <w:tcPr>
            <w:tcMar>
              <w:top w:type="dxa" w:w="80"/>
              <w:left w:type="dxa" w:w="120"/>
              <w:bottom w:type="dxa" w:w="80"/>
              <w:right w:type="dxa" w:w="120"/>
            </w:tcMar>
            <w:vAlign w:val="center"/>
          </w:tcPr>
          <w:p>
            <w:pPr>
              <w:pStyle w:val="MdTableCell"/>
            </w:pPr>
            <w:r>
              <w:t xml:space="preserve">Seller; assigned operations staff</w:t>
            </w:r>
          </w:p>
        </w:tc>
        <w:tc>
          <w:tcPr>
            <w:tcMar>
              <w:top w:type="dxa" w:w="80"/>
              <w:left w:type="dxa" w:w="120"/>
              <w:bottom w:type="dxa" w:w="80"/>
              <w:right w:type="dxa" w:w="120"/>
            </w:tcMar>
            <w:vAlign w:val="center"/>
          </w:tcPr>
          <w:p>
            <w:pPr>
              <w:pStyle w:val="MdTableCell"/>
            </w:pPr>
            <w:r>
              <w:t xml:space="preserve">In-app, push, transactional email</w:t>
            </w:r>
          </w:p>
        </w:tc>
        <w:tc>
          <w:tcPr>
            <w:tcBorders>
              <w:right w:val="none"/>
            </w:tcBorders>
            <w:tcMar>
              <w:top w:type="dxa" w:w="80"/>
              <w:left w:type="dxa" w:w="120"/>
              <w:bottom w:type="dxa" w:w="80"/>
              <w:right w:type="dxa" w:w="120"/>
            </w:tcMar>
            <w:vAlign w:val="center"/>
          </w:tcPr>
          <w:p>
            <w:pPr>
              <w:pStyle w:val="MdTableCell"/>
            </w:pPr>
            <w:r>
              <w:t xml:space="preserve">Recipient derived from authorized aggregate, not caller-supplied address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Inquiry/message received</w:t>
            </w:r>
          </w:p>
        </w:tc>
        <w:tc>
          <w:tcPr>
            <w:tcMar>
              <w:top w:type="dxa" w:w="80"/>
              <w:left w:type="dxa" w:w="120"/>
              <w:bottom w:type="dxa" w:w="80"/>
              <w:right w:type="dxa" w:w="120"/>
            </w:tcMar>
            <w:vAlign w:val="center"/>
          </w:tcPr>
          <w:p>
            <w:pPr>
              <w:pStyle w:val="MdTableCell"/>
            </w:pPr>
            <w:r>
              <w:t xml:space="preserve">Buyer and seller participants</w:t>
            </w:r>
          </w:p>
        </w:tc>
        <w:tc>
          <w:tcPr>
            <w:tcMar>
              <w:top w:type="dxa" w:w="80"/>
              <w:left w:type="dxa" w:w="120"/>
              <w:bottom w:type="dxa" w:w="80"/>
              <w:right w:type="dxa" w:w="120"/>
            </w:tcMar>
            <w:vAlign w:val="center"/>
          </w:tcPr>
          <w:p>
            <w:pPr>
              <w:pStyle w:val="MdTableCell"/>
            </w:pPr>
            <w:r>
              <w:t xml:space="preserve">In-app first; push/email fallback</w:t>
            </w:r>
          </w:p>
        </w:tc>
        <w:tc>
          <w:tcPr>
            <w:tcBorders>
              <w:right w:val="none"/>
            </w:tcBorders>
            <w:tcMar>
              <w:top w:type="dxa" w:w="80"/>
              <w:left w:type="dxa" w:w="120"/>
              <w:bottom w:type="dxa" w:w="80"/>
              <w:right w:type="dxa" w:w="120"/>
            </w:tcMar>
            <w:vAlign w:val="center"/>
          </w:tcPr>
          <w:p>
            <w:pPr>
              <w:pStyle w:val="MdTableCell"/>
            </w:pPr>
            <w:r>
              <w:t xml:space="preserve">Never disclose another party’s private contact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Appointment requested/confirmed/rescheduled/cancelled</w:t>
            </w:r>
          </w:p>
        </w:tc>
        <w:tc>
          <w:tcPr>
            <w:tcMar>
              <w:top w:type="dxa" w:w="80"/>
              <w:left w:type="dxa" w:w="120"/>
              <w:bottom w:type="dxa" w:w="80"/>
              <w:right w:type="dxa" w:w="120"/>
            </w:tcMar>
            <w:vAlign w:val="center"/>
          </w:tcPr>
          <w:p>
            <w:pPr>
              <w:pStyle w:val="MdTableCell"/>
            </w:pPr>
            <w:r>
              <w:t xml:space="preserve">Buyer, seller/dealer, assigned operations</w:t>
            </w:r>
          </w:p>
        </w:tc>
        <w:tc>
          <w:tcPr>
            <w:tcMar>
              <w:top w:type="dxa" w:w="80"/>
              <w:left w:type="dxa" w:w="120"/>
              <w:bottom w:type="dxa" w:w="80"/>
              <w:right w:type="dxa" w:w="120"/>
            </w:tcMar>
            <w:vAlign w:val="center"/>
          </w:tcPr>
          <w:p>
            <w:pPr>
              <w:pStyle w:val="MdTableCell"/>
            </w:pPr>
            <w:r>
              <w:t xml:space="preserve">In-app plus push/email; opted-in SMS/WhatsApp for reminders</w:t>
            </w:r>
          </w:p>
        </w:tc>
        <w:tc>
          <w:tcPr>
            <w:tcBorders>
              <w:right w:val="none"/>
            </w:tcBorders>
            <w:tcMar>
              <w:top w:type="dxa" w:w="80"/>
              <w:left w:type="dxa" w:w="120"/>
              <w:bottom w:type="dxa" w:w="80"/>
              <w:right w:type="dxa" w:w="120"/>
            </w:tcMar>
            <w:vAlign w:val="center"/>
          </w:tcPr>
          <w:p>
            <w:pPr>
              <w:pStyle w:val="MdTableCell"/>
            </w:pPr>
            <w:r>
              <w:t xml:space="preserve">Timezone and quiet-hours rules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 requested/received/rejected</w:t>
            </w:r>
          </w:p>
        </w:tc>
        <w:tc>
          <w:tcPr>
            <w:tcMar>
              <w:top w:type="dxa" w:w="80"/>
              <w:left w:type="dxa" w:w="120"/>
              <w:bottom w:type="dxa" w:w="80"/>
              <w:right w:type="dxa" w:w="120"/>
            </w:tcMar>
            <w:vAlign w:val="center"/>
          </w:tcPr>
          <w:p>
            <w:pPr>
              <w:pStyle w:val="MdTableCell"/>
            </w:pPr>
            <w:r>
              <w:t xml:space="preserve">Customer and responsible operations queue</w:t>
            </w:r>
          </w:p>
        </w:tc>
        <w:tc>
          <w:tcPr>
            <w:tcMar>
              <w:top w:type="dxa" w:w="80"/>
              <w:left w:type="dxa" w:w="120"/>
              <w:bottom w:type="dxa" w:w="80"/>
              <w:right w:type="dxa" w:w="120"/>
            </w:tcMar>
            <w:vAlign w:val="center"/>
          </w:tcPr>
          <w:p>
            <w:pPr>
              <w:pStyle w:val="MdTableCell"/>
            </w:pPr>
            <w:r>
              <w:t xml:space="preserve">In-app/email; push for deadline</w:t>
            </w:r>
          </w:p>
        </w:tc>
        <w:tc>
          <w:tcPr>
            <w:tcBorders>
              <w:right w:val="none"/>
            </w:tcBorders>
            <w:tcMar>
              <w:top w:type="dxa" w:w="80"/>
              <w:left w:type="dxa" w:w="120"/>
              <w:bottom w:type="dxa" w:w="80"/>
              <w:right w:type="dxa" w:w="120"/>
            </w:tcMar>
            <w:vAlign w:val="center"/>
          </w:tcPr>
          <w:p>
            <w:pPr>
              <w:pStyle w:val="MdTableCell"/>
            </w:pPr>
            <w:r>
              <w:t xml:space="preserve">Deep links require authenticated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Offer submitted/accepted/expired; payment/refund milestone</w:t>
            </w:r>
          </w:p>
        </w:tc>
        <w:tc>
          <w:tcPr>
            <w:tcMar>
              <w:top w:type="dxa" w:w="80"/>
              <w:left w:type="dxa" w:w="120"/>
              <w:bottom w:type="dxa" w:w="80"/>
              <w:right w:type="dxa" w:w="120"/>
            </w:tcMar>
            <w:vAlign w:val="center"/>
          </w:tcPr>
          <w:p>
            <w:pPr>
              <w:pStyle w:val="MdTableCell"/>
            </w:pPr>
            <w:r>
              <w:t xml:space="preserve">Authorized buyer, seller, finance staff</w:t>
            </w:r>
          </w:p>
        </w:tc>
        <w:tc>
          <w:tcPr>
            <w:tcMar>
              <w:top w:type="dxa" w:w="80"/>
              <w:left w:type="dxa" w:w="120"/>
              <w:bottom w:type="dxa" w:w="80"/>
              <w:right w:type="dxa" w:w="120"/>
            </w:tcMar>
            <w:vAlign w:val="center"/>
          </w:tcPr>
          <w:p>
            <w:pPr>
              <w:pStyle w:val="MdTableCell"/>
            </w:pPr>
            <w:r>
              <w:t xml:space="preserve">In-app plus transactional email; urgent SMS only</w:t>
            </w:r>
          </w:p>
        </w:tc>
        <w:tc>
          <w:tcPr>
            <w:tcBorders>
              <w:right w:val="none"/>
            </w:tcBorders>
            <w:tcMar>
              <w:top w:type="dxa" w:w="80"/>
              <w:left w:type="dxa" w:w="120"/>
              <w:bottom w:type="dxa" w:w="80"/>
              <w:right w:type="dxa" w:w="120"/>
            </w:tcMar>
            <w:vAlign w:val="center"/>
          </w:tcPr>
          <w:p>
            <w:pPr>
              <w:pStyle w:val="MdTableCell"/>
            </w:pPr>
            <w:r>
              <w:t xml:space="preserve">Mask payment data; preserve policy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Collection/delivery ready, delayed, failed</w:t>
            </w:r>
          </w:p>
        </w:tc>
        <w:tc>
          <w:tcPr>
            <w:tcMar>
              <w:top w:type="dxa" w:w="80"/>
              <w:left w:type="dxa" w:w="120"/>
              <w:bottom w:type="dxa" w:w="80"/>
              <w:right w:type="dxa" w:w="120"/>
            </w:tcMar>
            <w:vAlign w:val="center"/>
          </w:tcPr>
          <w:p>
            <w:pPr>
              <w:pStyle w:val="MdTableCell"/>
            </w:pPr>
            <w:r>
              <w:t xml:space="preserve">Customer, fulfillment staff, escalation owner</w:t>
            </w:r>
          </w:p>
        </w:tc>
        <w:tc>
          <w:tcPr>
            <w:tcMar>
              <w:top w:type="dxa" w:w="80"/>
              <w:left w:type="dxa" w:w="120"/>
              <w:bottom w:type="dxa" w:w="80"/>
              <w:right w:type="dxa" w:w="120"/>
            </w:tcMar>
            <w:vAlign w:val="center"/>
          </w:tcPr>
          <w:p>
            <w:pPr>
              <w:pStyle w:val="MdTableCell"/>
            </w:pPr>
            <w:r>
              <w:t xml:space="preserve">In-app, push, email; optional SMS</w:t>
            </w:r>
          </w:p>
        </w:tc>
        <w:tc>
          <w:tcPr>
            <w:tcBorders>
              <w:right w:val="none"/>
            </w:tcBorders>
            <w:tcMar>
              <w:top w:type="dxa" w:w="80"/>
              <w:left w:type="dxa" w:w="120"/>
              <w:bottom w:type="dxa" w:w="80"/>
              <w:right w:type="dxa" w:w="120"/>
            </w:tcMar>
            <w:vAlign w:val="center"/>
          </w:tcPr>
          <w:p>
            <w:pPr>
              <w:pStyle w:val="MdTableCell"/>
            </w:pPr>
            <w:r>
              <w:t xml:space="preserve">Show next action and owner, not internal diagnostics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SLA warning/breach, provider outage, webhook signature failure, fraud signal</w:t>
            </w:r>
          </w:p>
        </w:tc>
        <w:tc>
          <w:tcPr>
            <w:tcMar>
              <w:top w:type="dxa" w:w="80"/>
              <w:left w:type="dxa" w:w="120"/>
              <w:bottom w:type="dxa" w:w="80"/>
              <w:right w:type="dxa" w:w="120"/>
            </w:tcMar>
            <w:vAlign w:val="center"/>
          </w:tcPr>
          <w:p>
            <w:pPr>
              <w:pStyle w:val="MdTableCell"/>
            </w:pPr>
            <w:r>
              <w:t xml:space="preserve">Staff queue/on-call</w:t>
            </w:r>
          </w:p>
        </w:tc>
        <w:tc>
          <w:tcPr>
            <w:tcMar>
              <w:top w:type="dxa" w:w="80"/>
              <w:left w:type="dxa" w:w="120"/>
              <w:bottom w:type="dxa" w:w="80"/>
              <w:right w:type="dxa" w:w="120"/>
            </w:tcMar>
            <w:vAlign w:val="center"/>
          </w:tcPr>
          <w:p>
            <w:pPr>
              <w:pStyle w:val="MdTableCell"/>
            </w:pPr>
            <w:r>
              <w:t xml:space="preserve">Dashboard plus approved paging channel</w:t>
            </w:r>
          </w:p>
        </w:tc>
        <w:tc>
          <w:tcPr>
            <w:tcBorders>
              <w:right w:val="none"/>
            </w:tcBorders>
            <w:tcMar>
              <w:top w:type="dxa" w:w="80"/>
              <w:left w:type="dxa" w:w="120"/>
              <w:bottom w:type="dxa" w:w="80"/>
              <w:right w:type="dxa" w:w="120"/>
            </w:tcMar>
            <w:vAlign w:val="center"/>
          </w:tcPr>
          <w:p>
            <w:pPr>
              <w:pStyle w:val="MdTableCell"/>
            </w:pPr>
            <w:r>
              <w:t xml:space="preserve">Severity, owner, acknowledgment and escalation timer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Marketing campaign/price alert</w:t>
            </w:r>
          </w:p>
        </w:tc>
        <w:tc>
          <w:tcPr>
            <w:tcBorders>
              <w:bottom w:val="single" w:color="E1E4E8" w:sz="4"/>
            </w:tcBorders>
            <w:tcMar>
              <w:top w:type="dxa" w:w="80"/>
              <w:left w:type="dxa" w:w="120"/>
              <w:bottom w:type="dxa" w:w="80"/>
              <w:right w:type="dxa" w:w="120"/>
            </w:tcMar>
            <w:vAlign w:val="center"/>
          </w:tcPr>
          <w:p>
            <w:pPr>
              <w:pStyle w:val="MdTableCell"/>
            </w:pPr>
            <w:r>
              <w:t xml:space="preserve">Consenting eligible customers only</w:t>
            </w:r>
          </w:p>
        </w:tc>
        <w:tc>
          <w:tcPr>
            <w:tcBorders>
              <w:bottom w:val="single" w:color="E1E4E8" w:sz="4"/>
            </w:tcBorders>
            <w:tcMar>
              <w:top w:type="dxa" w:w="80"/>
              <w:left w:type="dxa" w:w="120"/>
              <w:bottom w:type="dxa" w:w="80"/>
              <w:right w:type="dxa" w:w="120"/>
            </w:tcMar>
            <w:vAlign w:val="center"/>
          </w:tcPr>
          <w:p>
            <w:pPr>
              <w:pStyle w:val="MdTableCell"/>
            </w:pPr>
            <w:r>
              <w:t xml:space="preserve">Preference-controlled channels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Separate consent, suppression, and audit trail</w:t>
            </w:r>
          </w:p>
        </w:tc>
      </w:tr>
    </w:tbl>
    <w:p>
      <w:pPr>
        <w:pStyle w:val="Heading3"/>
        <w:pStyle w:val="MdHeading3"/>
      </w:pPr>
      <w:r>
        <w:t xml:space="preserve">9.4 Channel rules</w:t>
      </w:r>
    </w:p>
    <w:p>
      <w:pPr>
        <w:pStyle w:val="MdParagraph"/>
      </w:pPr>
      <w:r>
        <w:t xml:space="preserve">In-app contains the full authorized detail and is searchable. Push is a best-effort pointer and must not include secrets, payment details, full VIN, or sensitive message content. Email contains richer transactional records and receipts, with authenticated sending and preference groups. SMS is short and urgent, with consent, STOP/HELP handling, rate limits, and local quiet hours. WhatsApp requires consent and approved templates outside the active service window. The WhatsApp template model and provider compliance guidance are external implementation inputs, not a substitute for Nigerian legal review. </w:t>
      </w:r>
      <w:hyperlink w:history="1" r:id="rIdzi4pjsxkp6v7j9jlvlokg">
        <w:r>
          <w:rPr>
            <w:rStyle w:val="MdLink"/>
          </w:rPr>
          <w:t xml:space="preserve">44</w:t>
        </w:r>
      </w:hyperlink>
      <w:r>
        <w:t xml:space="preserve"> </w:t>
      </w:r>
      <w:hyperlink w:history="1" r:id="rIdvtaqisk8bpt58tr_rjstf">
        <w:r>
          <w:rPr>
            <w:rStyle w:val="MdLink"/>
          </w:rPr>
          <w:t xml:space="preserve">46</w:t>
        </w:r>
      </w:hyperlink>
    </w:p>
    <w:p>
      <w:pPr>
        <w:pStyle w:val="MdSpace"/>
        <w:spacing w:before="0" w:after="60"/>
      </w:pPr>
    </w:p>
    <w:p>
      <w:pPr>
        <w:pStyle w:val="MdParagraph"/>
      </w:pPr>
      <w:r>
        <w:t xml:space="preserve">Operational and security notices are separate from marketing. A marketing opt-out must not silently suppress essential account, fraud, legal, or safety messages without a documented policy decision. Invalid push tokens should be revoked and periodically refreshed. </w:t>
      </w:r>
      <w:hyperlink w:history="1" r:id="rId2wroehgpcastv1e0ram8z">
        <w:r>
          <w:rPr>
            <w:rStyle w:val="MdLink"/>
          </w:rPr>
          <w:t xml:space="preserve">45</w:t>
        </w:r>
      </w:hyperlink>
    </w:p>
    <w:p>
      <w:pPr>
        <w:pStyle w:val="MdSpace"/>
        <w:spacing w:before="0" w:after="60"/>
      </w:pPr>
    </w:p>
    <w:p>
      <w:pPr>
        <w:pStyle w:val="Heading2"/>
        <w:pStyle w:val="MdHeading2"/>
      </w:pPr>
      <w:r>
        <w:t xml:space="preserve">10. Data entities and audit log</w:t>
      </w:r>
    </w:p>
    <w:p>
      <w:pPr>
        <w:pStyle w:val="Heading3"/>
        <w:pStyle w:val="MdHeading3"/>
      </w:pPr>
      <w:r>
        <w:t xml:space="preserve">10.1 Core entities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Domain</w:t>
            </w:r>
          </w:p>
        </w:tc>
        <w:tc>
          <w:tcPr>
            <w:tcMar>
              <w:top w:type="dxa" w:w="100"/>
              <w:left w:type="dxa" w:w="120"/>
              <w:bottom w:type="dxa" w:w="100"/>
              <w:right w:type="dxa" w:w="120"/>
            </w:tcMar>
            <w:vAlign w:val="center"/>
          </w:tcPr>
          <w:p>
            <w:pPr>
              <w:pStyle w:val="MdTableHeader"/>
            </w:pPr>
            <w:r>
              <w:t xml:space="preserve">Canonical entities</w:t>
            </w:r>
          </w:p>
        </w:tc>
        <w:tc>
          <w:tcPr>
            <w:tcBorders>
              <w:right w:val="none"/>
            </w:tcBorders>
            <w:tcMar>
              <w:top w:type="dxa" w:w="100"/>
              <w:left w:type="dxa" w:w="120"/>
              <w:bottom w:type="dxa" w:w="100"/>
              <w:right w:type="dxa" w:w="120"/>
            </w:tcMar>
            <w:vAlign w:val="center"/>
          </w:tcPr>
          <w:p>
            <w:pPr>
              <w:pStyle w:val="MdTableHeader"/>
            </w:pPr>
            <w:r>
              <w:t xml:space="preserve">Critical relationships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Identity</w:t>
            </w:r>
          </w:p>
        </w:tc>
        <w:tc>
          <w:tcPr>
            <w:tcMar>
              <w:top w:type="dxa" w:w="80"/>
              <w:left w:type="dxa" w:w="120"/>
              <w:bottom w:type="dxa" w:w="80"/>
              <w:right w:type="dxa" w:w="120"/>
            </w:tcMar>
            <w:vAlign w:val="center"/>
          </w:tcPr>
          <w:p>
            <w:pPr>
              <w:pStyle w:val="MdTableCell"/>
            </w:pPr>
            <w:r>
              <w:t xml:space="preserve">Account, principal, role assignment, branch scope, consent, preference, identity verification, risk decision</w:t>
            </w:r>
          </w:p>
        </w:tc>
        <w:tc>
          <w:tcPr>
            <w:tcBorders>
              <w:right w:val="none"/>
            </w:tcBorders>
            <w:tcMar>
              <w:top w:type="dxa" w:w="80"/>
              <w:left w:type="dxa" w:w="120"/>
              <w:bottom w:type="dxa" w:w="80"/>
              <w:right w:type="dxa" w:w="120"/>
            </w:tcMar>
            <w:vAlign w:val="center"/>
          </w:tcPr>
          <w:p>
            <w:pPr>
              <w:pStyle w:val="MdTableCell"/>
            </w:pPr>
            <w:r>
              <w:t xml:space="preserve">Principal owns customer cases; role assignment constrains every object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Vehicle</w:t>
            </w:r>
          </w:p>
        </w:tc>
        <w:tc>
          <w:tcPr>
            <w:tcMar>
              <w:top w:type="dxa" w:w="80"/>
              <w:left w:type="dxa" w:w="120"/>
              <w:bottom w:type="dxa" w:w="80"/>
              <w:right w:type="dxa" w:w="120"/>
            </w:tcMar>
            <w:vAlign w:val="center"/>
          </w:tcPr>
          <w:p>
            <w:pPr>
              <w:pStyle w:val="MdTableCell"/>
            </w:pPr>
            <w:r>
              <w:t xml:space="preserve">Vehicle unit, VIN identity, ownership document, lien, registration, location, custody event, media, recall result</w:t>
            </w:r>
          </w:p>
        </w:tc>
        <w:tc>
          <w:tcPr>
            <w:tcBorders>
              <w:right w:val="none"/>
            </w:tcBorders>
            <w:tcMar>
              <w:top w:type="dxa" w:w="80"/>
              <w:left w:type="dxa" w:w="120"/>
              <w:bottom w:type="dxa" w:w="80"/>
              <w:right w:type="dxa" w:w="120"/>
            </w:tcMar>
            <w:vAlign w:val="center"/>
          </w:tcPr>
          <w:p>
            <w:pPr>
              <w:pStyle w:val="MdTableCell"/>
            </w:pPr>
            <w:r>
              <w:t xml:space="preserve">One canonical vehicle links to inspection, listing, booking, sale, rental, shipment, and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Inspection</w:t>
            </w:r>
          </w:p>
        </w:tc>
        <w:tc>
          <w:tcPr>
            <w:tcMar>
              <w:top w:type="dxa" w:w="80"/>
              <w:left w:type="dxa" w:w="120"/>
              <w:bottom w:type="dxa" w:w="80"/>
              <w:right w:type="dxa" w:w="120"/>
            </w:tcMar>
            <w:vAlign w:val="center"/>
          </w:tcPr>
          <w:p>
            <w:pPr>
              <w:pStyle w:val="MdTableCell"/>
            </w:pPr>
            <w:r>
              <w:t xml:space="preserve">Checklist, defect, diagnostic result, mileage reading, photo/video evidence, inspection version, QC sign-off</w:t>
            </w:r>
          </w:p>
        </w:tc>
        <w:tc>
          <w:tcPr>
            <w:tcBorders>
              <w:right w:val="none"/>
            </w:tcBorders>
            <w:tcMar>
              <w:top w:type="dxa" w:w="80"/>
              <w:left w:type="dxa" w:w="120"/>
              <w:bottom w:type="dxa" w:w="80"/>
              <w:right w:type="dxa" w:w="120"/>
            </w:tcMar>
            <w:vAlign w:val="center"/>
          </w:tcPr>
          <w:p>
            <w:pPr>
              <w:pStyle w:val="MdTableCell"/>
            </w:pPr>
            <w:r>
              <w:t xml:space="preserve">Inspection version is immutable after submission; corrections are amendments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Commercial</w:t>
            </w:r>
          </w:p>
        </w:tc>
        <w:tc>
          <w:tcPr>
            <w:tcMar>
              <w:top w:type="dxa" w:w="80"/>
              <w:left w:type="dxa" w:w="120"/>
              <w:bottom w:type="dxa" w:w="80"/>
              <w:right w:type="dxa" w:w="120"/>
            </w:tcMar>
            <w:vAlign w:val="center"/>
          </w:tcPr>
          <w:p>
            <w:pPr>
              <w:pStyle w:val="MdTableCell"/>
            </w:pPr>
            <w:r>
              <w:t xml:space="preserve">Listing version, price, discount proposal, quote, lead, appointment, reservation, contract, disclosure</w:t>
            </w:r>
          </w:p>
        </w:tc>
        <w:tc>
          <w:tcPr>
            <w:tcBorders>
              <w:right w:val="none"/>
            </w:tcBorders>
            <w:tcMar>
              <w:top w:type="dxa" w:w="80"/>
              <w:left w:type="dxa" w:w="120"/>
              <w:bottom w:type="dxa" w:w="80"/>
              <w:right w:type="dxa" w:w="120"/>
            </w:tcMar>
            <w:vAlign w:val="center"/>
          </w:tcPr>
          <w:p>
            <w:pPr>
              <w:pStyle w:val="MdTableCell"/>
            </w:pPr>
            <w:r>
              <w:t xml:space="preserve">Listing references a vehicle snapshot and policy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Acquisition</w:t>
            </w:r>
          </w:p>
        </w:tc>
        <w:tc>
          <w:tcPr>
            <w:tcMar>
              <w:top w:type="dxa" w:w="80"/>
              <w:left w:type="dxa" w:w="120"/>
              <w:bottom w:type="dxa" w:w="80"/>
              <w:right w:type="dxa" w:w="120"/>
            </w:tcMar>
            <w:vAlign w:val="center"/>
          </w:tcPr>
          <w:p>
            <w:pPr>
              <w:pStyle w:val="MdTableCell"/>
            </w:pPr>
            <w:r>
              <w:t xml:space="preserve">Sell-car lead, offer version, purchase agreement, pickup, payoff, chain of custody</w:t>
            </w:r>
          </w:p>
        </w:tc>
        <w:tc>
          <w:tcPr>
            <w:tcBorders>
              <w:right w:val="none"/>
            </w:tcBorders>
            <w:tcMar>
              <w:top w:type="dxa" w:w="80"/>
              <w:left w:type="dxa" w:w="120"/>
              <w:bottom w:type="dxa" w:w="80"/>
              <w:right w:type="dxa" w:w="120"/>
            </w:tcMar>
            <w:vAlign w:val="center"/>
          </w:tcPr>
          <w:p>
            <w:pPr>
              <w:pStyle w:val="MdTableCell"/>
            </w:pPr>
            <w:r>
              <w:t xml:space="preserve">Payment depends on accepted acquisition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Rental</w:t>
            </w:r>
          </w:p>
        </w:tc>
        <w:tc>
          <w:tcPr>
            <w:tcMar>
              <w:top w:type="dxa" w:w="80"/>
              <w:left w:type="dxa" w:w="120"/>
              <w:bottom w:type="dxa" w:w="80"/>
              <w:right w:type="dxa" w:w="120"/>
            </w:tcMar>
            <w:vAlign w:val="center"/>
          </w:tcPr>
          <w:p>
            <w:pPr>
              <w:pStyle w:val="MdTableCell"/>
            </w:pPr>
            <w:r>
              <w:t xml:space="preserve">Availability block, booking, driver, additional driver, protection selection, trip, check-in/out, deposit, damage claim</w:t>
            </w:r>
          </w:p>
        </w:tc>
        <w:tc>
          <w:tcPr>
            <w:tcBorders>
              <w:right w:val="none"/>
            </w:tcBorders>
            <w:tcMar>
              <w:top w:type="dxa" w:w="80"/>
              <w:left w:type="dxa" w:w="120"/>
              <w:bottom w:type="dxa" w:w="80"/>
              <w:right w:type="dxa" w:w="120"/>
            </w:tcMar>
            <w:vAlign w:val="center"/>
          </w:tcPr>
          <w:p>
            <w:pPr>
              <w:pStyle w:val="MdTableCell"/>
            </w:pPr>
            <w:r>
              <w:t xml:space="preserve">Booking atomically locks vehicle and capacity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Import/logistics</w:t>
            </w:r>
          </w:p>
        </w:tc>
        <w:tc>
          <w:tcPr>
            <w:tcMar>
              <w:top w:type="dxa" w:w="80"/>
              <w:left w:type="dxa" w:w="120"/>
              <w:bottom w:type="dxa" w:w="80"/>
              <w:right w:type="dxa" w:w="120"/>
            </w:tcMar>
            <w:vAlign w:val="center"/>
          </w:tcPr>
          <w:p>
            <w:pPr>
              <w:pStyle w:val="MdTableCell"/>
            </w:pPr>
            <w:r>
              <w:t xml:space="preserve">Import case, quote, broker, carrier, booking, bill of lading, customs entry, duty/tax assessment, milestone, change order</w:t>
            </w:r>
          </w:p>
        </w:tc>
        <w:tc>
          <w:tcPr>
            <w:tcBorders>
              <w:right w:val="none"/>
            </w:tcBorders>
            <w:tcMar>
              <w:top w:type="dxa" w:w="80"/>
              <w:left w:type="dxa" w:w="120"/>
              <w:bottom w:type="dxa" w:w="80"/>
              <w:right w:type="dxa" w:w="120"/>
            </w:tcMar>
            <w:vAlign w:val="center"/>
          </w:tcPr>
          <w:p>
            <w:pPr>
              <w:pStyle w:val="MdTableCell"/>
            </w:pPr>
            <w:r>
              <w:t xml:space="preserve">Shipment milestones and documents link to customer and vehicle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Finance</w:t>
            </w:r>
          </w:p>
        </w:tc>
        <w:tc>
          <w:tcPr>
            <w:tcMar>
              <w:top w:type="dxa" w:w="80"/>
              <w:left w:type="dxa" w:w="120"/>
              <w:bottom w:type="dxa" w:w="80"/>
              <w:right w:type="dxa" w:w="120"/>
            </w:tcMar>
            <w:vAlign w:val="center"/>
          </w:tcPr>
          <w:p>
            <w:pPr>
              <w:pStyle w:val="MdTableCell"/>
            </w:pPr>
            <w:r>
              <w:t xml:space="preserve">Invoice, payment intent, authorization, capture, refund, chargeback, journal, settlement batch, reconciliation item</w:t>
            </w:r>
          </w:p>
        </w:tc>
        <w:tc>
          <w:tcPr>
            <w:tcBorders>
              <w:right w:val="none"/>
            </w:tcBorders>
            <w:tcMar>
              <w:top w:type="dxa" w:w="80"/>
              <w:left w:type="dxa" w:w="120"/>
              <w:bottom w:type="dxa" w:w="80"/>
              <w:right w:type="dxa" w:w="120"/>
            </w:tcMar>
            <w:vAlign w:val="center"/>
          </w:tcPr>
          <w:p>
            <w:pPr>
              <w:pStyle w:val="MdTableCell"/>
            </w:pPr>
            <w:r>
              <w:t xml:space="preserve">Finance events are append-only facts with independent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w:t>
            </w:r>
          </w:p>
        </w:tc>
        <w:tc>
          <w:tcPr>
            <w:tcMar>
              <w:top w:type="dxa" w:w="80"/>
              <w:left w:type="dxa" w:w="120"/>
              <w:bottom w:type="dxa" w:w="80"/>
              <w:right w:type="dxa" w:w="120"/>
            </w:tcMar>
            <w:vAlign w:val="center"/>
          </w:tcPr>
          <w:p>
            <w:pPr>
              <w:pStyle w:val="MdTableCell"/>
            </w:pPr>
            <w:r>
              <w:t xml:space="preserve">Case, message, note, complaint, SLA, vendor appointment, repair authorization, resolution</w:t>
            </w:r>
          </w:p>
        </w:tc>
        <w:tc>
          <w:tcPr>
            <w:tcBorders>
              <w:right w:val="none"/>
            </w:tcBorders>
            <w:tcMar>
              <w:top w:type="dxa" w:w="80"/>
              <w:left w:type="dxa" w:w="120"/>
              <w:bottom w:type="dxa" w:w="80"/>
              <w:right w:type="dxa" w:w="120"/>
            </w:tcMar>
            <w:vAlign w:val="center"/>
          </w:tcPr>
          <w:p>
            <w:pPr>
              <w:pStyle w:val="MdTableCell"/>
            </w:pPr>
            <w:r>
              <w:t xml:space="preserve">Support case links to order, VIN, booking, entitlement and communications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Platform</w:t>
            </w:r>
          </w:p>
        </w:tc>
        <w:tc>
          <w:tcPr>
            <w:tcBorders>
              <w:bottom w:val="single" w:color="E1E4E8" w:sz="4"/>
            </w:tcBorders>
            <w:tcMar>
              <w:top w:type="dxa" w:w="80"/>
              <w:left w:type="dxa" w:w="120"/>
              <w:bottom w:type="dxa" w:w="80"/>
              <w:right w:type="dxa" w:w="120"/>
            </w:tcMar>
            <w:vAlign w:val="center"/>
          </w:tcPr>
          <w:p>
            <w:pPr>
              <w:pStyle w:val="MdTableCell"/>
            </w:pPr>
            <w:r>
              <w:t xml:space="preserve">Domain event, outbox, inbox, notification, delivery, template, feature/policy version, audit log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Every consequential change has a correlation ID and audit reference</w:t>
            </w:r>
          </w:p>
        </w:tc>
      </w:tr>
    </w:tbl>
    <w:p>
      <w:pPr>
        <w:pStyle w:val="Heading3"/>
        <w:pStyle w:val="MdHeading3"/>
      </w:pPr>
      <w:r>
        <w:t xml:space="preserve">10.2 Audit log requirements</w:t>
      </w:r>
    </w:p>
    <w:p>
      <w:pPr>
        <w:pStyle w:val="MdParagraph"/>
      </w:pPr>
      <w:r>
        <w:rPr>
          <w:rStyle w:val="MdStrong"/>
          <w:b/>
          <w:bCs/>
        </w:rPr>
        <w:t xml:space="preserve">[RESEARCHED REQUIREMENT]</w:t>
      </w:r>
      <w:r>
        <w:t xml:space="preserve"> Audit authentication/MFA, authorization allow/deny, scope and role changes, vehicle/document/listing/inspection changes, price/discount changes, state transitions, payment/refund/journal actions, exports, customer-data access, break-glass use, failed approvals, and deletions/voids. Capture UTC time, actor or service identity, role and scope, action, object ID/version, before/after or field diff where appropriate, outcome, reason/ticket, correlation ID, and source device/IP. Protect logs with restricted access, tamper detection or hash chaining, immutable or independent storage, monitored access, and retention schedule. Never log passwords, tokens, CVV/PIN, or unnecessary identity documents. </w:t>
      </w:r>
      <w:hyperlink w:history="1" r:id="rIdabb3243fewrt-wu9uvmvf">
        <w:r>
          <w:rPr>
            <w:rStyle w:val="MdLink"/>
          </w:rPr>
          <w:t xml:space="preserve">2</w:t>
        </w:r>
      </w:hyperlink>
    </w:p>
    <w:p>
      <w:pPr>
        <w:pStyle w:val="MdSpace"/>
        <w:spacing w:before="0" w:after="60"/>
      </w:pPr>
    </w:p>
    <w:p>
      <w:pPr>
        <w:pStyle w:val="MdParagraph"/>
      </w:pPr>
      <w:r>
        <w:rPr>
          <w:rStyle w:val="MdStrong"/>
          <w:b/>
          <w:bCs/>
        </w:rPr>
        <w:t xml:space="preserve">[RECOMMENDATION]</w:t>
      </w:r>
      <w:r>
        <w:t xml:space="preserve"> Use append-only audit records with integrity hashes, a separate storage boundary, alerting on log-access changes, and legal-hold support. Audit-log administration must be separate from role administration. A deletion request may remove or anonymize operational data where lawful, but the system must retain the minimum evidence required for legal, fraud, tax, payment, and dispute obligations.</w:t>
      </w:r>
    </w:p>
    <w:p>
      <w:pPr>
        <w:pStyle w:val="MdSpace"/>
        <w:spacing w:before="0" w:after="60"/>
      </w:pPr>
    </w:p>
    <w:p>
      <w:pPr>
        <w:pStyle w:val="Heading2"/>
        <w:pStyle w:val="MdHeading2"/>
      </w:pPr>
      <w:r>
        <w:t xml:space="preserve">11. Nigeria policy and compliance checklist</w:t>
      </w:r>
    </w:p>
    <w:p>
      <w:pPr>
        <w:pStyle w:val="Heading3"/>
        <w:pStyle w:val="MdHeading3"/>
      </w:pPr>
      <w:r>
        <w:t xml:space="preserve">11.1 Legal baseline versus recommended control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Mar>
              <w:top w:type="dxa" w:w="100"/>
              <w:left w:type="dxa" w:w="120"/>
              <w:bottom w:type="dxa" w:w="100"/>
              <w:right w:type="dxa" w:w="120"/>
            </w:tcMar>
            <w:vAlign w:val="center"/>
          </w:tcPr>
          <w:p>
            <w:pPr>
              <w:pStyle w:val="MdTableHeader"/>
            </w:pPr>
            <w:r>
              <w:t xml:space="preserve">Legal or researched baseline</w:t>
            </w:r>
          </w:p>
        </w:tc>
        <w:tc>
          <w:tcPr>
            <w:tcMar>
              <w:top w:type="dxa" w:w="100"/>
              <w:left w:type="dxa" w:w="120"/>
              <w:bottom w:type="dxa" w:w="100"/>
              <w:right w:type="dxa" w:w="120"/>
            </w:tcMar>
            <w:vAlign w:val="center"/>
          </w:tcPr>
          <w:p>
            <w:pPr>
              <w:pStyle w:val="MdTableHeader"/>
            </w:pPr>
            <w:r>
              <w:t xml:space="preserve">Recommended ShabaAutos control</w:t>
            </w:r>
          </w:p>
        </w:tc>
        <w:tc>
          <w:tcPr>
            <w:tcBorders>
              <w:right w:val="none"/>
            </w:tcBorders>
            <w:tcMar>
              <w:top w:type="dxa" w:w="100"/>
              <w:left w:type="dxa" w:w="120"/>
              <w:bottom w:type="dxa" w:w="100"/>
              <w:right w:type="dxa" w:w="120"/>
            </w:tcMar>
            <w:vAlign w:val="center"/>
          </w:tcPr>
          <w:p>
            <w:pPr>
              <w:pStyle w:val="MdTableHeader"/>
            </w:pPr>
            <w:r>
              <w:t xml:space="preserve">Confirmation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protection</w:t>
            </w:r>
          </w:p>
        </w:tc>
        <w:tc>
          <w:tcPr>
            <w:tcMar>
              <w:top w:type="dxa" w:w="80"/>
              <w:left w:type="dxa" w:w="120"/>
              <w:bottom w:type="dxa" w:w="80"/>
              <w:right w:type="dxa" w:w="120"/>
            </w:tcMar>
            <w:vAlign w:val="center"/>
          </w:tcPr>
          <w:p>
            <w:pPr>
              <w:pStyle w:val="MdTableCell"/>
            </w:pPr>
            <w:r>
              <w:t xml:space="preserve">The Nigeria Data Protection Act 2023 and NDPC GAID 2025 are the primary privacy baseline in the supplied research. They address transparency, rights, security, processors, DPIA, records, and breach response. </w:t>
            </w:r>
            <w:hyperlink w:history="1" r:id="rId2zudvx8d_wr2fasij4iib">
              <w:r>
                <w:rPr>
                  <w:rStyle w:val="MdLink"/>
                </w:rPr>
                <w:t xml:space="preserve">26</w:t>
              </w:r>
            </w:hyperlink>
            <w:r>
              <w:t xml:space="preserve"> </w:t>
            </w:r>
            <w:hyperlink w:history="1" r:id="rIdohtytr03knhikywxqe5ry">
              <w:r>
                <w:rPr>
                  <w:rStyle w:val="MdLink"/>
                </w:rPr>
                <w:t xml:space="preserve">27</w:t>
              </w:r>
            </w:hyperlink>
          </w:p>
        </w:tc>
        <w:tc>
          <w:tcPr>
            <w:tcMar>
              <w:top w:type="dxa" w:w="80"/>
              <w:left w:type="dxa" w:w="120"/>
              <w:bottom w:type="dxa" w:w="80"/>
              <w:right w:type="dxa" w:w="120"/>
            </w:tcMar>
            <w:vAlign w:val="center"/>
          </w:tcPr>
          <w:p>
            <w:pPr>
              <w:pStyle w:val="MdTableCell"/>
            </w:pPr>
            <w:r>
              <w:t xml:space="preserve">Maintain a data inventory and records of processing; publish layered notices; implement access, rectification, objection, restriction, portability, erasure, and automated-decision safeguards; use DPIAs for high-risk identity, fraud, profiling, or location processing</w:t>
            </w:r>
          </w:p>
        </w:tc>
        <w:tc>
          <w:tcPr>
            <w:tcBorders>
              <w:right w:val="none"/>
            </w:tcBorders>
            <w:tcMar>
              <w:top w:type="dxa" w:w="80"/>
              <w:left w:type="dxa" w:w="120"/>
              <w:bottom w:type="dxa" w:w="80"/>
              <w:right w:type="dxa" w:w="120"/>
            </w:tcMar>
            <w:vAlign w:val="center"/>
          </w:tcPr>
          <w:p>
            <w:pPr>
              <w:pStyle w:val="MdTableCell"/>
            </w:pPr>
            <w:r>
              <w:t xml:space="preserve">Controller/processor status, major-importance registration, DPO, audit returns, DPCO use, cross-border transfers, and exact retention duties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Breach response</w:t>
            </w:r>
          </w:p>
        </w:tc>
        <w:tc>
          <w:tcPr>
            <w:tcMar>
              <w:top w:type="dxa" w:w="80"/>
              <w:left w:type="dxa" w:w="120"/>
              <w:bottom w:type="dxa" w:w="80"/>
              <w:right w:type="dxa" w:w="120"/>
            </w:tcMar>
            <w:vAlign w:val="center"/>
          </w:tcPr>
          <w:p>
            <w:pPr>
              <w:pStyle w:val="MdTableCell"/>
            </w:pPr>
            <w:r>
              <w:t xml:space="preserve">The research identifies a 72-hour NDPC notification obligation for relevant controller situations under NDPA section 40/GAID Article 33. </w:t>
            </w:r>
            <w:hyperlink w:history="1" r:id="rIdn69njiiplsy-j13i-axpp">
              <w:r>
                <w:rPr>
                  <w:rStyle w:val="MdLink"/>
                </w:rPr>
                <w:t xml:space="preserve">27</w:t>
              </w:r>
            </w:hyperlink>
          </w:p>
        </w:tc>
        <w:tc>
          <w:tcPr>
            <w:tcMar>
              <w:top w:type="dxa" w:w="80"/>
              <w:left w:type="dxa" w:w="120"/>
              <w:bottom w:type="dxa" w:w="80"/>
              <w:right w:type="dxa" w:w="120"/>
            </w:tcMar>
            <w:vAlign w:val="center"/>
          </w:tcPr>
          <w:p>
            <w:pPr>
              <w:pStyle w:val="MdTableCell"/>
            </w:pPr>
            <w:r>
              <w:t xml:space="preserve">Maintain a 24/7 incident playbook; require vendors and PSPs to notify immediately; preserve evidence and maintain a decision log</w:t>
            </w:r>
          </w:p>
        </w:tc>
        <w:tc>
          <w:tcPr>
            <w:tcBorders>
              <w:right w:val="none"/>
            </w:tcBorders>
            <w:tcMar>
              <w:top w:type="dxa" w:w="80"/>
              <w:left w:type="dxa" w:w="120"/>
              <w:bottom w:type="dxa" w:w="80"/>
              <w:right w:type="dxa" w:w="120"/>
            </w:tcMar>
            <w:vAlign w:val="center"/>
          </w:tcPr>
          <w:p>
            <w:pPr>
              <w:pStyle w:val="MdTableCell"/>
            </w:pPr>
            <w:r>
              <w:t xml:space="preserve">Applicability, threshold, notice content, affected-person notice, and regulator coordination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Payments and settlement</w:t>
            </w:r>
          </w:p>
        </w:tc>
        <w:tc>
          <w:tcPr>
            <w:tcMar>
              <w:top w:type="dxa" w:w="80"/>
              <w:left w:type="dxa" w:w="120"/>
              <w:bottom w:type="dxa" w:w="80"/>
              <w:right w:type="dxa" w:w="120"/>
            </w:tcMar>
            <w:vAlign w:val="center"/>
          </w:tcPr>
          <w:p>
            <w:pPr>
              <w:pStyle w:val="MdTableCell"/>
            </w:pPr>
            <w:r>
              <w:t xml:space="preserve">Use an appropriately licensed, CBN-listed PSP. Payment, wallet, aggregation, settlement, AML/KYC, safeguarding, and chargeback roles depend on the structure. </w:t>
            </w:r>
            <w:hyperlink w:history="1" r:id="rIdlgf0kzlub70uvixrhws7u">
              <w:r>
                <w:rPr>
                  <w:rStyle w:val="MdLink"/>
                </w:rPr>
                <w:t xml:space="preserve">28</w:t>
              </w:r>
            </w:hyperlink>
            <w:r>
              <w:t xml:space="preserve"> </w:t>
            </w:r>
            <w:hyperlink w:history="1" r:id="rIdanoeqxyye-wmxceyi9mor">
              <w:r>
                <w:rPr>
                  <w:rStyle w:val="MdLink"/>
                </w:rPr>
                <w:t xml:space="preserve">29</w:t>
              </w:r>
            </w:hyperlink>
            <w:r>
              <w:t xml:space="preserve"> </w:t>
            </w:r>
            <w:hyperlink w:history="1" r:id="rIdg-dgkxylm4bb2lqpje35s">
              <w:r>
                <w:rPr>
                  <w:rStyle w:val="MdLink"/>
                </w:rPr>
                <w:t xml:space="preserve">30</w:t>
              </w:r>
            </w:hyperlink>
          </w:p>
        </w:tc>
        <w:tc>
          <w:tcPr>
            <w:tcMar>
              <w:top w:type="dxa" w:w="80"/>
              <w:left w:type="dxa" w:w="120"/>
              <w:bottom w:type="dxa" w:w="80"/>
              <w:right w:type="dxa" w:w="120"/>
            </w:tcMar>
            <w:vAlign w:val="center"/>
          </w:tcPr>
          <w:p>
            <w:pPr>
              <w:pStyle w:val="MdTableCell"/>
            </w:pPr>
            <w:r>
              <w:t xml:space="preserve">Hosted/tokenized checkout; no raw card storage; signed webhooks; idempotent refunds; reconciliation; original-payer refund rule; no unapproved pooled funds or “escrow” claims</w:t>
            </w:r>
          </w:p>
        </w:tc>
        <w:tc>
          <w:tcPr>
            <w:tcBorders>
              <w:right w:val="none"/>
            </w:tcBorders>
            <w:tcMar>
              <w:top w:type="dxa" w:w="80"/>
              <w:left w:type="dxa" w:w="120"/>
              <w:bottom w:type="dxa" w:w="80"/>
              <w:right w:type="dxa" w:w="120"/>
            </w:tcMar>
            <w:vAlign w:val="center"/>
          </w:tcPr>
          <w:p>
            <w:pPr>
              <w:pStyle w:val="MdTableCell"/>
            </w:pPr>
            <w:r>
              <w:t xml:space="preserve">Merchant of record, regulated party, custody/release model, AML/KYC owner, chargeback allocation, safeguarding, and refund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PCI DSS</w:t>
            </w:r>
          </w:p>
        </w:tc>
        <w:tc>
          <w:tcPr>
            <w:tcMar>
              <w:top w:type="dxa" w:w="80"/>
              <w:left w:type="dxa" w:w="120"/>
              <w:bottom w:type="dxa" w:w="80"/>
              <w:right w:type="dxa" w:w="120"/>
            </w:tcMar>
            <w:vAlign w:val="center"/>
          </w:tcPr>
          <w:p>
            <w:pPr>
              <w:pStyle w:val="MdTableCell"/>
            </w:pPr>
            <w:r>
              <w:t xml:space="preserve">PCI DSS applies to environments storing, processing, or transmitting payment-account data. </w:t>
            </w:r>
            <w:hyperlink w:history="1" r:id="rIdzthcehfk6zdlkxoet14al">
              <w:r>
                <w:rPr>
                  <w:rStyle w:val="MdLink"/>
                </w:rPr>
                <w:t xml:space="preserve">31</w:t>
              </w:r>
            </w:hyperlink>
          </w:p>
        </w:tc>
        <w:tc>
          <w:tcPr>
            <w:tcMar>
              <w:top w:type="dxa" w:w="80"/>
              <w:left w:type="dxa" w:w="120"/>
              <w:bottom w:type="dxa" w:w="80"/>
              <w:right w:type="dxa" w:w="120"/>
            </w:tcMar>
            <w:vAlign w:val="center"/>
          </w:tcPr>
          <w:p>
            <w:pPr>
              <w:pStyle w:val="MdTableCell"/>
            </w:pPr>
            <w:r>
              <w:t xml:space="preserve">Prefer redirect/hosted fields and tokens; scope the cardholder-data environment with the PSP; prohibit PAN/CVV in support tools and logs</w:t>
            </w:r>
          </w:p>
        </w:tc>
        <w:tc>
          <w:tcPr>
            <w:tcBorders>
              <w:right w:val="none"/>
            </w:tcBorders>
            <w:tcMar>
              <w:top w:type="dxa" w:w="80"/>
              <w:left w:type="dxa" w:w="120"/>
              <w:bottom w:type="dxa" w:w="80"/>
              <w:right w:type="dxa" w:w="120"/>
            </w:tcMar>
            <w:vAlign w:val="center"/>
          </w:tcPr>
          <w:p>
            <w:pPr>
              <w:pStyle w:val="MdTableCell"/>
            </w:pPr>
            <w:r>
              <w:t xml:space="preserve">Applicable validation level, provider responsibilities, and incident obligations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Consumer protection</w:t>
            </w:r>
          </w:p>
        </w:tc>
        <w:tc>
          <w:tcPr>
            <w:tcMar>
              <w:top w:type="dxa" w:w="80"/>
              <w:left w:type="dxa" w:w="120"/>
              <w:bottom w:type="dxa" w:w="80"/>
              <w:right w:type="dxa" w:w="120"/>
            </w:tcMar>
            <w:vAlign w:val="center"/>
          </w:tcPr>
          <w:p>
            <w:pPr>
              <w:pStyle w:val="MdTableCell"/>
            </w:pPr>
            <w:r>
              <w:t xml:space="preserve">FCCPA materials emphasize plain-language information, full price disclosure, truthful descriptions, records, fair dealing, and reasonable cancellation/refund rights. </w:t>
            </w:r>
            <w:hyperlink w:history="1" r:id="rIdadhjh2g7d0hitq33focib">
              <w:r>
                <w:rPr>
                  <w:rStyle w:val="MdLink"/>
                </w:rPr>
                <w:t xml:space="preserve">33</w:t>
              </w:r>
            </w:hyperlink>
            <w:r>
              <w:t xml:space="preserve"> </w:t>
            </w:r>
            <w:hyperlink w:history="1" r:id="rIdjmbqfy87hp_wrwhtbmvm9">
              <w:r>
                <w:rPr>
                  <w:rStyle w:val="MdLink"/>
                </w:rPr>
                <w:t xml:space="preserve">34</w:t>
              </w:r>
            </w:hyperlink>
            <w:r>
              <w:t xml:space="preserve"> </w:t>
            </w:r>
            <w:hyperlink w:history="1" r:id="rIdbij56fzqnllm0wq9qqikl">
              <w:r>
                <w:rPr>
                  <w:rStyle w:val="MdLink"/>
                </w:rPr>
                <w:t xml:space="preserve">35</w:t>
              </w:r>
            </w:hyperlink>
          </w:p>
        </w:tc>
        <w:tc>
          <w:tcPr>
            <w:tcMar>
              <w:top w:type="dxa" w:w="80"/>
              <w:left w:type="dxa" w:w="120"/>
              <w:bottom w:type="dxa" w:w="80"/>
              <w:right w:type="dxa" w:w="120"/>
            </w:tcMar>
            <w:vAlign w:val="center"/>
          </w:tcPr>
          <w:p>
            <w:pPr>
              <w:pStyle w:val="MdTableCell"/>
            </w:pPr>
            <w:r>
              <w:t xml:space="preserve">Show seller identity/status where appropriate, total price and fees, condition/history, deposit, delivery, rental, protection, cancellation, refund, warranty/as-is, and complaint terms before payment; retain accepted policy version</w:t>
            </w:r>
          </w:p>
        </w:tc>
        <w:tc>
          <w:tcPr>
            <w:tcBorders>
              <w:right w:val="none"/>
            </w:tcBorders>
            <w:tcMar>
              <w:top w:type="dxa" w:w="80"/>
              <w:left w:type="dxa" w:w="120"/>
              <w:bottom w:type="dxa" w:w="80"/>
              <w:right w:type="dxa" w:w="120"/>
            </w:tcMar>
            <w:vAlign w:val="center"/>
          </w:tcPr>
          <w:p>
            <w:pPr>
              <w:pStyle w:val="MdTableCell"/>
            </w:pPr>
            <w:r>
              <w:t xml:space="preserve">Counsel review of marketplace, seller, rental, return, liability, and chargeback terms; exact refund/cooling-off rights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Ownership and vehicle evidence</w:t>
            </w:r>
          </w:p>
        </w:tc>
        <w:tc>
          <w:tcPr>
            <w:tcMar>
              <w:top w:type="dxa" w:w="80"/>
              <w:left w:type="dxa" w:w="120"/>
              <w:bottom w:type="dxa" w:w="80"/>
              <w:right w:type="dxa" w:w="120"/>
            </w:tcMar>
            <w:vAlign w:val="center"/>
          </w:tcPr>
          <w:p>
            <w:pPr>
              <w:pStyle w:val="MdTableCell"/>
            </w:pPr>
            <w:r>
              <w:t xml:space="preserve">FRSC resources provide proof-of-ownership and driver-license verification pathways; Lagos DVIS provides document-verification examples. </w:t>
            </w:r>
            <w:hyperlink w:history="1" r:id="rIdem-9muiecjnkjrcbbrmge">
              <w:r>
                <w:rPr>
                  <w:rStyle w:val="MdLink"/>
                </w:rPr>
                <w:t xml:space="preserve">8</w:t>
              </w:r>
            </w:hyperlink>
            <w:r>
              <w:t xml:space="preserve"> </w:t>
            </w:r>
            <w:hyperlink w:history="1" r:id="rIdiidz5suexu3wrc1nrlonm">
              <w:r>
                <w:rPr>
                  <w:rStyle w:val="MdLink"/>
                </w:rPr>
                <w:t xml:space="preserve">9</w:t>
              </w:r>
            </w:hyperlink>
            <w:r>
              <w:t xml:space="preserve"> </w:t>
            </w:r>
            <w:hyperlink w:history="1" r:id="rIdojvfacvjfxzv-tklvfzuk">
              <w:r>
                <w:rPr>
                  <w:rStyle w:val="MdLink"/>
                </w:rPr>
                <w:t xml:space="preserve">36</w:t>
              </w:r>
            </w:hyperlink>
          </w:p>
        </w:tc>
        <w:tc>
          <w:tcPr>
            <w:tcMar>
              <w:top w:type="dxa" w:w="80"/>
              <w:left w:type="dxa" w:w="120"/>
              <w:bottom w:type="dxa" w:w="80"/>
              <w:right w:type="dxa" w:w="120"/>
            </w:tcMar>
            <w:vAlign w:val="center"/>
          </w:tcPr>
          <w:p>
            <w:pPr>
              <w:pStyle w:val="MdTableCell"/>
            </w:pPr>
            <w:r>
              <w:t xml:space="preserve">Require VIN, registration/number plate, seller identity, ownership proof, lien disclosure, inspection, mileage, insurance where relevant, and verification timestamp before publication or release</w:t>
            </w:r>
          </w:p>
        </w:tc>
        <w:tc>
          <w:tcPr>
            <w:tcBorders>
              <w:right w:val="none"/>
            </w:tcBorders>
            <w:tcMar>
              <w:top w:type="dxa" w:w="80"/>
              <w:left w:type="dxa" w:w="120"/>
              <w:bottom w:type="dxa" w:w="80"/>
              <w:right w:type="dxa" w:w="120"/>
            </w:tcMar>
            <w:vAlign w:val="center"/>
          </w:tcPr>
          <w:p>
            <w:pPr>
              <w:pStyle w:val="MdTableCell"/>
            </w:pPr>
            <w:r>
              <w:t xml:space="preserve">Official integration permissions, data-sharing terms, evidentiary sufficiency, and state-by-state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Rental safety and insurance</w:t>
            </w:r>
          </w:p>
        </w:tc>
        <w:tc>
          <w:tcPr>
            <w:tcMar>
              <w:top w:type="dxa" w:w="80"/>
              <w:left w:type="dxa" w:w="120"/>
              <w:bottom w:type="dxa" w:w="80"/>
              <w:right w:type="dxa" w:w="120"/>
            </w:tcMar>
            <w:vAlign w:val="center"/>
          </w:tcPr>
          <w:p>
            <w:pPr>
              <w:pStyle w:val="MdTableCell"/>
            </w:pPr>
            <w:r>
              <w:t xml:space="preserve">Exact license, age, driver, insurance, damage, and geographic rules vary by product, insurer, and location</w:t>
            </w:r>
          </w:p>
        </w:tc>
        <w:tc>
          <w:tcPr>
            <w:tcMar>
              <w:top w:type="dxa" w:w="80"/>
              <w:left w:type="dxa" w:w="120"/>
              <w:bottom w:type="dxa" w:w="80"/>
              <w:right w:type="dxa" w:w="120"/>
            </w:tcMar>
            <w:vAlign w:val="center"/>
          </w:tcPr>
          <w:p>
            <w:pPr>
              <w:pStyle w:val="MdTableCell"/>
            </w:pPr>
            <w:r>
              <w:t xml:space="preserve">Recheck driver eligibility at pickup; maintain authorized-driver list; block recalled/unsafe vehicles; record pre/post condition and incident evidence</w:t>
            </w:r>
          </w:p>
        </w:tc>
        <w:tc>
          <w:tcPr>
            <w:tcBorders>
              <w:right w:val="none"/>
            </w:tcBorders>
            <w:tcMar>
              <w:top w:type="dxa" w:w="80"/>
              <w:left w:type="dxa" w:w="120"/>
              <w:bottom w:type="dxa" w:w="80"/>
              <w:right w:type="dxa" w:w="120"/>
            </w:tcMar>
            <w:vAlign w:val="center"/>
          </w:tcPr>
          <w:p>
            <w:pPr>
              <w:pStyle w:val="MdTableCell"/>
            </w:pPr>
            <w:r>
              <w:t xml:space="preserve">Insurer, counsel, FRSC/other authority, age and license rules, insurance exclusions, and roadside obligations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Import</w:t>
            </w:r>
          </w:p>
        </w:tc>
        <w:tc>
          <w:tcPr>
            <w:tcMar>
              <w:top w:type="dxa" w:w="80"/>
              <w:left w:type="dxa" w:w="120"/>
              <w:bottom w:type="dxa" w:w="80"/>
              <w:right w:type="dxa" w:w="120"/>
            </w:tcMar>
            <w:vAlign w:val="center"/>
          </w:tcPr>
          <w:p>
            <w:pPr>
              <w:pStyle w:val="MdTableCell"/>
            </w:pPr>
            <w:r>
              <w:t xml:space="preserve">Customs, broker, duty, conformity, documentation, inspection, and demurrage requirements vary by route and vehicle</w:t>
            </w:r>
          </w:p>
        </w:tc>
        <w:tc>
          <w:tcPr>
            <w:tcMar>
              <w:top w:type="dxa" w:w="80"/>
              <w:left w:type="dxa" w:w="120"/>
              <w:bottom w:type="dxa" w:w="80"/>
              <w:right w:type="dxa" w:w="120"/>
            </w:tcMar>
            <w:vAlign w:val="center"/>
          </w:tcPr>
          <w:p>
            <w:pPr>
              <w:pStyle w:val="MdTableCell"/>
            </w:pPr>
            <w:r>
              <w:t xml:space="preserve">Maintain document pack, quote assumptions, change orders, broker ownership, customs holds, duty/tax assessment, and delivery proof</w:t>
            </w:r>
          </w:p>
        </w:tc>
        <w:tc>
          <w:tcPr>
            <w:tcBorders>
              <w:right w:val="none"/>
            </w:tcBorders>
            <w:tcMar>
              <w:top w:type="dxa" w:w="80"/>
              <w:left w:type="dxa" w:w="120"/>
              <w:bottom w:type="dxa" w:w="80"/>
              <w:right w:type="dxa" w:w="120"/>
            </w:tcMar>
            <w:vAlign w:val="center"/>
          </w:tcPr>
          <w:p>
            <w:pPr>
              <w:pStyle w:val="MdTableCell"/>
            </w:pPr>
            <w:r>
              <w:t xml:space="preserve">Destination admissibility, customs broker, taxes/duties, conformity, title, and customer-contract allocation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Security</w:t>
            </w:r>
          </w:p>
        </w:tc>
        <w:tc>
          <w:tcPr>
            <w:tcBorders>
              <w:bottom w:val="single" w:color="E1E4E8" w:sz="4"/>
            </w:tcBorders>
            <w:tcMar>
              <w:top w:type="dxa" w:w="80"/>
              <w:left w:type="dxa" w:w="120"/>
              <w:bottom w:type="dxa" w:w="80"/>
              <w:right w:type="dxa" w:w="120"/>
            </w:tcMar>
            <w:vAlign w:val="center"/>
          </w:tcPr>
          <w:p>
            <w:pPr>
              <w:pStyle w:val="MdTableCell"/>
            </w:pPr>
            <w:r>
              <w:t xml:space="preserve">OWASP ASVS offers a testable application-security basis. </w:t>
            </w:r>
            <w:hyperlink w:history="1" r:id="rIdq7yrv1qrbtyi3q8ajgd5p">
              <w:r>
                <w:rPr>
                  <w:rStyle w:val="MdLink"/>
                </w:rPr>
                <w:t xml:space="preserve">32</w:t>
              </w:r>
            </w:hyperlink>
          </w:p>
        </w:tc>
        <w:tc>
          <w:tcPr>
            <w:tcBorders>
              <w:bottom w:val="single" w:color="E1E4E8" w:sz="4"/>
            </w:tcBorders>
            <w:tcMar>
              <w:top w:type="dxa" w:w="80"/>
              <w:left w:type="dxa" w:w="120"/>
              <w:bottom w:type="dxa" w:w="80"/>
              <w:right w:type="dxa" w:w="120"/>
            </w:tcMar>
            <w:vAlign w:val="center"/>
          </w:tcPr>
          <w:p>
            <w:pPr>
              <w:pStyle w:val="MdTableCell"/>
            </w:pPr>
            <w:r>
              <w:t xml:space="preserve">Secure SDLC, threat modeling, dependency/secrets scanning, penetration tests, environment separation, monitoring, and recovery testing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Adopted ASVS version, testing cadence, independent assessor, and evidence retention</w:t>
            </w:r>
          </w:p>
        </w:tc>
      </w:tr>
    </w:tbl>
    <w:p>
      <w:pPr>
        <w:pStyle w:val="Heading3"/>
        <w:pStyle w:val="MdHeading3"/>
      </w:pPr>
      <w:r>
        <w:t xml:space="preserve">11.2 Mandatory launch checklist</w:t>
      </w:r>
    </w:p>
    <w:p>
      <w:pPr>
        <w:pStyle w:val="MdParagraph"/>
      </w:pPr>
      <w:r>
        <w:t xml:space="preserve">The launch gate should not pass until the following are evidenced:</w:t>
      </w:r>
    </w:p>
    <w:p>
      <w:pPr>
        <w:pStyle w:val="MdSpace"/>
        <w:spacing w:before="0" w:after="60"/>
      </w:pPr>
    </w:p>
    <w:p>
      <w:pPr>
        <w:pStyle w:val="MdListItem"/>
        <w:numPr>
          <w:ilvl w:val="0"/>
          <w:numId w:val="3"/>
        </w:numPr>
      </w:pPr>
      <w:r>
        <w:rPr>
          <w:rStyle w:val="MdStrong"/>
          <w:b/>
          <w:bCs/>
        </w:rPr>
        <w:t xml:space="preserve">Privacy:</w:t>
      </w:r>
      <w:r>
        <w:t xml:space="preserve"> controller/processor map, privacy notice, rights workflow, DPIA where required, processor agreements, cross-border transfer review, retention/deletion schedule, and incident playbook.</w:t>
      </w:r>
    </w:p>
    <w:p>
      <w:pPr>
        <w:pStyle w:val="MdListItem"/>
        <w:numPr>
          <w:ilvl w:val="0"/>
          <w:numId w:val="3"/>
        </w:numPr>
      </w:pPr>
      <w:r>
        <w:rPr>
          <w:rStyle w:val="MdStrong"/>
          <w:b/>
          <w:bCs/>
        </w:rPr>
        <w:t xml:space="preserve">Payments:</w:t>
      </w:r>
      <w:r>
        <w:t xml:space="preserve"> PSP authorization and contract, merchant-of-record decision, hosted/tokenized checkout, webhook verification, duplicate prevention, reconciliation, refund controls, and payment incident procedure.</w:t>
      </w:r>
    </w:p>
    <w:p>
      <w:pPr>
        <w:pStyle w:val="MdListItem"/>
        <w:numPr>
          <w:ilvl w:val="0"/>
          <w:numId w:val="3"/>
        </w:numPr>
      </w:pPr>
      <w:r>
        <w:rPr>
          <w:rStyle w:val="MdStrong"/>
          <w:b/>
          <w:bCs/>
        </w:rPr>
        <w:t xml:space="preserve">Consumer policy:</w:t>
      </w:r>
      <w:r>
        <w:t xml:space="preserve"> total price and fee display, vehicle disclosure, rental and import terms, cancellation/refund matrix, durable records, complaint channel, and counsel-approved terms.</w:t>
      </w:r>
    </w:p>
    <w:p>
      <w:pPr>
        <w:pStyle w:val="MdListItem"/>
        <w:numPr>
          <w:ilvl w:val="0"/>
          <w:numId w:val="3"/>
        </w:numPr>
      </w:pPr>
      <w:r>
        <w:rPr>
          <w:rStyle w:val="MdStrong"/>
          <w:b/>
          <w:bCs/>
        </w:rPr>
        <w:t xml:space="preserve">Vehicle safety and provenance:</w:t>
      </w:r>
      <w:r>
        <w:t xml:space="preserve"> ownership, VIN, lien, registration, insurance where relevant, recall, inspection, mileage, and evidence-verification controls.</w:t>
      </w:r>
    </w:p>
    <w:p>
      <w:pPr>
        <w:pStyle w:val="MdListItem"/>
        <w:numPr>
          <w:ilvl w:val="0"/>
          <w:numId w:val="3"/>
        </w:numPr>
      </w:pPr>
      <w:r>
        <w:rPr>
          <w:rStyle w:val="MdStrong"/>
          <w:b/>
          <w:bCs/>
        </w:rPr>
        <w:t xml:space="preserve">Access:</w:t>
      </w:r>
      <w:r>
        <w:t xml:space="preserve"> unique identities, phishing-resistant MFA for privileged and finance approvers, JML process, branch scoping, maker-checker, privileged review, break-glass logging, and direct-API authorization tests.</w:t>
      </w:r>
    </w:p>
    <w:p>
      <w:pPr>
        <w:pStyle w:val="MdListItem"/>
        <w:numPr>
          <w:ilvl w:val="0"/>
          <w:numId w:val="3"/>
        </w:numPr>
      </w:pPr>
      <w:r>
        <w:rPr>
          <w:rStyle w:val="MdStrong"/>
          <w:b/>
          <w:bCs/>
        </w:rPr>
        <w:t xml:space="preserve">Auditability:</w:t>
      </w:r>
      <w:r>
        <w:t xml:space="preserve"> append-only logs, integrity protection, restricted access, retention, alerting, and export logging.</w:t>
      </w:r>
    </w:p>
    <w:p>
      <w:pPr>
        <w:pStyle w:val="MdListItem"/>
        <w:numPr>
          <w:ilvl w:val="0"/>
          <w:numId w:val="3"/>
        </w:numPr>
      </w:pPr>
      <w:r>
        <w:rPr>
          <w:rStyle w:val="MdStrong"/>
          <w:b/>
          <w:bCs/>
        </w:rPr>
        <w:t xml:space="preserve">Operations:</w:t>
      </w:r>
      <w:r>
        <w:t xml:space="preserve"> queue ownership, SLA clocks, escalation rules, vendor SLAs, incident playbooks, staff training, and one-branch pilot readiness.</w:t>
      </w:r>
    </w:p>
    <w:p>
      <w:pPr>
        <w:pStyle w:val="MdSpace"/>
        <w:spacing w:before="0" w:after="60"/>
      </w:pPr>
    </w:p>
    <w:p>
      <w:pPr>
        <w:pStyle w:val="Heading2"/>
        <w:pStyle w:val="MdHeading2"/>
      </w:pPr>
      <w:r>
        <w:t xml:space="preserve">12. Security control baseline</w:t>
      </w:r>
    </w:p>
    <w:p>
      <w:pPr>
        <w:pStyle w:val="Heading3"/>
        <w:pStyle w:val="MdHeading3"/>
      </w:pPr>
      <w:r>
        <w:t xml:space="preserve">12.1 Identity and access</w:t>
      </w:r>
    </w:p>
    <w:p>
      <w:pPr>
        <w:pStyle w:val="MdParagraph"/>
      </w:pPr>
      <w:r>
        <w:t xml:space="preserve">Require unique identities, phishing-resistant MFA for super admins, finance approvers, and support account-recovery actions; short sessions; reauthentication for approvals and exports; just-in-time elevation; immediate deprovisioning; and monthly review of privileged, finance, support-export, and break-glass accounts. Use mutually exclusive roles for the same branch or transaction and enforce maker-checker in the identity and service layers.</w:t>
      </w:r>
    </w:p>
    <w:p>
      <w:pPr>
        <w:pStyle w:val="MdSpace"/>
        <w:spacing w:before="0" w:after="60"/>
      </w:pPr>
    </w:p>
    <w:p>
      <w:pPr>
        <w:pStyle w:val="Heading3"/>
        <w:pStyle w:val="MdHeading3"/>
      </w:pPr>
      <w:r>
        <w:t xml:space="preserve">12.2 Application and data security</w:t>
      </w:r>
    </w:p>
    <w:p>
      <w:pPr>
        <w:pStyle w:val="MdParagraph"/>
      </w:pPr>
      <w:r>
        <w:t xml:space="preserve">Enforce API authorization on every request, including direct object IDs, bulk actions, downloads, background jobs, and static document URLs. Encrypt in transit and at rest. Tokenize payment data. Mask identity, bank, license, and document fields by default. Separate production access from development. Use secrets management, rotation, dependency scanning, secure headers, rate limiting, input validation, signed webhooks, replay protection, and URL/deep-link authorization.</w:t>
      </w:r>
    </w:p>
    <w:p>
      <w:pPr>
        <w:pStyle w:val="MdSpace"/>
        <w:spacing w:before="0" w:after="60"/>
      </w:pPr>
    </w:p>
    <w:p>
      <w:pPr>
        <w:pStyle w:val="Heading3"/>
        <w:pStyle w:val="MdHeading3"/>
      </w:pPr>
      <w:r>
        <w:t xml:space="preserve">12.3 Monitoring and incident response</w:t>
      </w:r>
    </w:p>
    <w:p>
      <w:pPr>
        <w:pStyle w:val="MdParagraph"/>
      </w:pPr>
      <w:r>
        <w:t xml:space="preserve">Alert on repeated authorization failures, unusual exports, off-hours privileged activity, role changes, break-glass use, payment mismatches, duplicate refunds, post-publication evidence edits, concurrent inventory locks, provider outages, webhook signature failures, and dormant accounts. Maintain incident severity, owner, containment, evidence preservation, credential/key rotation, vendor/regulator contacts, customer communications, and post-incident review.</w:t>
      </w:r>
    </w:p>
    <w:p>
      <w:pPr>
        <w:pStyle w:val="MdSpace"/>
        <w:spacing w:before="0" w:after="60"/>
      </w:pPr>
    </w:p>
    <w:p>
      <w:pPr>
        <w:pStyle w:val="Heading3"/>
        <w:pStyle w:val="MdHeading3"/>
      </w:pPr>
      <w:r>
        <w:t xml:space="preserve">12.4 Fraud and abuse</w:t>
      </w:r>
    </w:p>
    <w:p>
      <w:pPr>
        <w:pStyle w:val="MdParagraph"/>
      </w:pPr>
      <w:r>
        <w:t xml:space="preserve">Use layered, risk-based controls: contact verification, identity matching, device/payment consistency, velocity, duplicate VIN/image/text detection, step-up verification, trusted payment-change protection, account-takeover detection, and manual review. Preserve rule versions, reason codes, and reviewer decisions. Do not expose fraud thresholds publicly. Automated adverse decisions require human review and an explainable reason path.</w:t>
      </w:r>
    </w:p>
    <w:p>
      <w:pPr>
        <w:pStyle w:val="MdSpace"/>
        <w:spacing w:before="0" w:after="60"/>
      </w:pPr>
    </w:p>
    <w:p>
      <w:pPr>
        <w:pStyle w:val="Heading2"/>
        <w:pStyle w:val="MdHeading2"/>
      </w:pPr>
      <w:r>
        <w:t xml:space="preserve">13. Dashboard information architecture</w:t>
      </w:r>
    </w:p>
    <w:p>
      <w:pPr>
        <w:pStyle w:val="MdParagraph"/>
      </w:pPr>
      <w:r>
        <w:t xml:space="preserve">The dashboard should be organized by </w:t>
      </w:r>
      <w:r>
        <w:rPr>
          <w:rStyle w:val="MdStrong"/>
          <w:b/>
          <w:bCs/>
        </w:rPr>
        <w:t xml:space="preserve">decision and exception</w:t>
      </w:r>
      <w:r>
        <w:t xml:space="preserve">, not by department-only menus.</w:t>
      </w:r>
    </w:p>
    <w:p>
      <w:pPr>
        <w:pStyle w:val="MdSpace"/>
        <w:spacing w:before="0" w:after="60"/>
      </w:pPr>
    </w:p>
    <w:p>
      <w:pPr>
        <w:pStyle w:val="Heading3"/>
        <w:pStyle w:val="MdHeading3"/>
      </w:pPr>
      <w:r>
        <w:t xml:space="preserve">13.1 Global navigation</w:t>
      </w:r>
    </w:p>
    <w:p>
      <w:pPr>
        <w:pStyle w:val="MdListItem"/>
        <w:numPr>
          <w:ilvl w:val="0"/>
          <w:numId w:val="2"/>
        </w:numPr>
      </w:pPr>
      <w:r>
        <w:rPr>
          <w:rStyle w:val="MdStrong"/>
          <w:b/>
          <w:bCs/>
        </w:rPr>
        <w:t xml:space="preserve">Command center:</w:t>
      </w:r>
      <w:r>
        <w:t xml:space="preserve"> cross-product KPIs, money at risk, safety/compliance holds, aging queues, unacknowledged critical alerts, and provider health.</w:t>
      </w:r>
    </w:p>
    <w:p>
      <w:pPr>
        <w:pStyle w:val="MdListItem"/>
        <w:numPr>
          <w:ilvl w:val="0"/>
          <w:numId w:val="2"/>
        </w:numPr>
      </w:pPr>
      <w:r>
        <w:rPr>
          <w:rStyle w:val="MdStrong"/>
          <w:b/>
          <w:bCs/>
        </w:rPr>
        <w:t xml:space="preserve">Work queues:</w:t>
      </w:r>
      <w:r>
        <w:t xml:space="preserve"> identity/risk, acquisition/title, inspection/recon/listing, sales/inquiries, rental, import/customs, payments/reconciliation, delivery/returns, support/warranty, and incidents.</w:t>
      </w:r>
    </w:p>
    <w:p>
      <w:pPr>
        <w:pStyle w:val="MdListItem"/>
        <w:numPr>
          <w:ilvl w:val="0"/>
          <w:numId w:val="2"/>
        </w:numPr>
      </w:pPr>
      <w:r>
        <w:rPr>
          <w:rStyle w:val="MdStrong"/>
          <w:b/>
          <w:bCs/>
        </w:rPr>
        <w:t xml:space="preserve">Inventory:</w:t>
      </w:r>
      <w:r>
        <w:t xml:space="preserve"> canonical vehicle search, location/custody, availability, holds, reservations, quarantine, evidence completeness, listing versions, and history.</w:t>
      </w:r>
    </w:p>
    <w:p>
      <w:pPr>
        <w:pStyle w:val="MdListItem"/>
        <w:numPr>
          <w:ilvl w:val="0"/>
          <w:numId w:val="2"/>
        </w:numPr>
      </w:pPr>
      <w:r>
        <w:rPr>
          <w:rStyle w:val="MdStrong"/>
          <w:b/>
          <w:bCs/>
        </w:rPr>
        <w:t xml:space="preserve">Customers and cases:</w:t>
      </w:r>
      <w:r>
        <w:t xml:space="preserve"> customer-safe profile, consent/preferences, linked cases, communications, complaints, and rights requests.</w:t>
      </w:r>
    </w:p>
    <w:p>
      <w:pPr>
        <w:pStyle w:val="MdListItem"/>
        <w:numPr>
          <w:ilvl w:val="0"/>
          <w:numId w:val="2"/>
        </w:numPr>
      </w:pPr>
      <w:r>
        <w:rPr>
          <w:rStyle w:val="MdStrong"/>
          <w:b/>
          <w:bCs/>
        </w:rPr>
        <w:t xml:space="preserve">Transactions:</w:t>
      </w:r>
      <w:r>
        <w:t xml:space="preserve"> quotes, contracts, payments, refunds, disputes, settlements, chargebacks, and reconciliation.</w:t>
      </w:r>
    </w:p>
    <w:p>
      <w:pPr>
        <w:pStyle w:val="MdListItem"/>
        <w:numPr>
          <w:ilvl w:val="0"/>
          <w:numId w:val="2"/>
        </w:numPr>
      </w:pPr>
      <w:r>
        <w:rPr>
          <w:rStyle w:val="MdStrong"/>
          <w:b/>
          <w:bCs/>
        </w:rPr>
        <w:t xml:space="preserve">Logistics:</w:t>
      </w:r>
      <w:r>
        <w:t xml:space="preserve"> shipments, milestones, customs holds, carrier/broker ownership, ETA, demurrage risk, and delivery exceptions.</w:t>
      </w:r>
    </w:p>
    <w:p>
      <w:pPr>
        <w:pStyle w:val="MdListItem"/>
        <w:numPr>
          <w:ilvl w:val="0"/>
          <w:numId w:val="2"/>
        </w:numPr>
      </w:pPr>
      <w:r>
        <w:rPr>
          <w:rStyle w:val="MdStrong"/>
          <w:b/>
          <w:bCs/>
        </w:rPr>
        <w:t xml:space="preserve">Governance:</w:t>
      </w:r>
      <w:r>
        <w:t xml:space="preserve"> roles, scopes, policy versions, approvals, audit log, exports, privacy, incidents, and access reviews.</w:t>
      </w:r>
    </w:p>
    <w:p>
      <w:pPr>
        <w:pStyle w:val="MdListItem"/>
        <w:numPr>
          <w:ilvl w:val="0"/>
          <w:numId w:val="2"/>
        </w:numPr>
      </w:pPr>
      <w:r>
        <w:rPr>
          <w:rStyle w:val="MdStrong"/>
          <w:b/>
          <w:bCs/>
        </w:rPr>
        <w:t xml:space="preserve">Reports:</w:t>
      </w:r>
      <w:r>
        <w:t xml:space="preserve"> masked operational, finance, compliance, and regulator/auditor reports with export controls.</w:t>
      </w:r>
    </w:p>
    <w:p>
      <w:pPr>
        <w:pStyle w:val="MdSpace"/>
        <w:spacing w:before="0" w:after="60"/>
      </w:pPr>
    </w:p>
    <w:p>
      <w:pPr>
        <w:pStyle w:val="Heading3"/>
        <w:pStyle w:val="MdHeading3"/>
      </w:pPr>
      <w:r>
        <w:t xml:space="preserve">13.2 Queue card standard</w:t>
      </w:r>
    </w:p>
    <w:p>
      <w:pPr>
        <w:pStyle w:val="MdParagraph"/>
      </w:pPr>
      <w:r>
        <w:t xml:space="preserve">Every work item displays owner, age, priority, due time, next action, blocked reason, customer impact, money at risk, evidence completeness, and last contact. A queue may be filtered by branch, product, SLA state, safety severity, policy version, and exception type.</w:t>
      </w:r>
    </w:p>
    <w:p>
      <w:pPr>
        <w:pStyle w:val="MdSpace"/>
        <w:spacing w:before="0" w:after="60"/>
      </w:pPr>
    </w:p>
    <w:p>
      <w:pPr>
        <w:pStyle w:val="Heading3"/>
        <w:pStyle w:val="MdHeading3"/>
      </w:pPr>
      <w:r>
        <w:t xml:space="preserve">13.3 Core metrics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Domain</w:t>
            </w:r>
          </w:p>
        </w:tc>
        <w:tc>
          <w:tcPr>
            <w:tcBorders>
              <w:right w:val="none"/>
            </w:tcBorders>
            <w:tcMar>
              <w:top w:type="dxa" w:w="100"/>
              <w:left w:type="dxa" w:w="120"/>
              <w:bottom w:type="dxa" w:w="100"/>
              <w:right w:type="dxa" w:w="120"/>
            </w:tcMar>
            <w:vAlign w:val="center"/>
          </w:tcPr>
          <w:p>
            <w:pPr>
              <w:pStyle w:val="MdTableHeader"/>
            </w:pPr>
            <w:r>
              <w:t xml:space="preserve">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Inventory</w:t>
            </w:r>
          </w:p>
        </w:tc>
        <w:tc>
          <w:tcPr>
            <w:tcBorders>
              <w:right w:val="none"/>
            </w:tcBorders>
            <w:tcMar>
              <w:top w:type="dxa" w:w="80"/>
              <w:left w:type="dxa" w:w="120"/>
              <w:bottom w:type="dxa" w:w="80"/>
              <w:right w:type="dxa" w:w="120"/>
            </w:tcMar>
            <w:vAlign w:val="center"/>
          </w:tcPr>
          <w:p>
            <w:pPr>
              <w:pStyle w:val="MdTableCell"/>
            </w:pPr>
            <w:r>
              <w:t xml:space="preserve">Available/held/reserved/quarantined/sold units, days in state, evidence completeness, double-booking prevention failures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Sales</w:t>
            </w:r>
          </w:p>
        </w:tc>
        <w:tc>
          <w:tcPr>
            <w:tcBorders>
              <w:right w:val="none"/>
            </w:tcBorders>
            <w:tcMar>
              <w:top w:type="dxa" w:w="80"/>
              <w:left w:type="dxa" w:w="120"/>
              <w:bottom w:type="dxa" w:w="80"/>
              <w:right w:type="dxa" w:w="120"/>
            </w:tcMar>
            <w:vAlign w:val="center"/>
          </w:tcPr>
          <w:p>
            <w:pPr>
              <w:pStyle w:val="MdTableCell"/>
            </w:pPr>
            <w:r>
              <w:t xml:space="preserve">Lead response, conversion, offer aging, discount distribution, title exceptions, gross margin variance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Rental</w:t>
            </w:r>
          </w:p>
        </w:tc>
        <w:tc>
          <w:tcPr>
            <w:tcBorders>
              <w:right w:val="none"/>
            </w:tcBorders>
            <w:tcMar>
              <w:top w:type="dxa" w:w="80"/>
              <w:left w:type="dxa" w:w="120"/>
              <w:bottom w:type="dxa" w:w="80"/>
              <w:right w:type="dxa" w:w="120"/>
            </w:tcMar>
            <w:vAlign w:val="center"/>
          </w:tcPr>
          <w:p>
            <w:pPr>
              <w:pStyle w:val="MdTableCell"/>
            </w:pPr>
            <w:r>
              <w:t xml:space="preserve">Utilization, booking exception rate, no-show, late return, damage claims, deposit release time, safety blocks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Import</w:t>
            </w:r>
          </w:p>
        </w:tc>
        <w:tc>
          <w:tcPr>
            <w:tcBorders>
              <w:right w:val="none"/>
            </w:tcBorders>
            <w:tcMar>
              <w:top w:type="dxa" w:w="80"/>
              <w:left w:type="dxa" w:w="120"/>
              <w:bottom w:type="dxa" w:w="80"/>
              <w:right w:type="dxa" w:w="120"/>
            </w:tcMar>
            <w:vAlign w:val="center"/>
          </w:tcPr>
          <w:p>
            <w:pPr>
              <w:pStyle w:val="MdTableCell"/>
            </w:pPr>
            <w:r>
              <w:t xml:space="preserve">Quote-to-book conversion, document gaps, customs hold age, demurrage exposure, landed-cost variance, milestone latency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Finance</w:t>
            </w:r>
          </w:p>
        </w:tc>
        <w:tc>
          <w:tcPr>
            <w:tcBorders>
              <w:right w:val="none"/>
            </w:tcBorders>
            <w:tcMar>
              <w:top w:type="dxa" w:w="80"/>
              <w:left w:type="dxa" w:w="120"/>
              <w:bottom w:type="dxa" w:w="80"/>
              <w:right w:type="dxa" w:w="120"/>
            </w:tcMar>
            <w:vAlign w:val="center"/>
          </w:tcPr>
          <w:p>
            <w:pPr>
              <w:pStyle w:val="MdTableCell"/>
            </w:pPr>
            <w:r>
              <w:t xml:space="preserve">Authorization/capture/refund mismatch, settlement aging, duplicate/unknown payment, reconciliation completion, chargeback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w:t>
            </w:r>
          </w:p>
        </w:tc>
        <w:tc>
          <w:tcPr>
            <w:tcBorders>
              <w:right w:val="none"/>
            </w:tcBorders>
            <w:tcMar>
              <w:top w:type="dxa" w:w="80"/>
              <w:left w:type="dxa" w:w="120"/>
              <w:bottom w:type="dxa" w:w="80"/>
              <w:right w:type="dxa" w:w="120"/>
            </w:tcMar>
            <w:vAlign w:val="center"/>
          </w:tcPr>
          <w:p>
            <w:pPr>
              <w:pStyle w:val="MdTableCell"/>
            </w:pPr>
            <w:r>
              <w:t xml:space="preserve">First response, first resolution, repeat contact, safety cases, vendor aging, complaint outcomes, CSAT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Security/compliance</w:t>
            </w:r>
          </w:p>
        </w:tc>
        <w:tc>
          <w:tcPr>
            <w:tcBorders>
              <w:right w:val="none"/>
            </w:tcBorders>
            <w:tcMar>
              <w:top w:type="dxa" w:w="80"/>
              <w:left w:type="dxa" w:w="120"/>
              <w:bottom w:type="dxa" w:w="80"/>
              <w:right w:type="dxa" w:w="120"/>
            </w:tcMar>
            <w:vAlign w:val="center"/>
          </w:tcPr>
          <w:p>
            <w:pPr>
              <w:pStyle w:val="MdTableCell"/>
            </w:pPr>
            <w:r>
              <w:t xml:space="preserve">Access denials, privileged changes, exports, break-glass, incidents, rights requests, breach timer, audit-log integrity alerts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Notifications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In-app unread, provider latency, delivery/undelivered rate, consent blocks, retry count, DLQ count, unacknowledged alerts</w:t>
            </w:r>
          </w:p>
        </w:tc>
      </w:tr>
    </w:tbl>
    <w:p>
      <w:pPr>
        <w:pStyle w:val="Heading2"/>
        <w:pStyle w:val="MdHeading2"/>
      </w:pPr>
      <w:r>
        <w:t xml:space="preserve">14. Phased implementation plan</w:t>
      </w:r>
    </w:p>
    <w:p>
      <w:pPr>
        <w:pStyle w:val="Heading3"/>
        <w:pStyle w:val="MdHeading3"/>
      </w:pPr>
      <w:r>
        <w:t xml:space="preserve">Phase 0 — Decisions and control design (2–4 weeks)</w:t>
      </w:r>
    </w:p>
    <w:p>
      <w:pPr>
        <w:pStyle w:val="MdParagraph"/>
      </w:pPr>
      <w:r>
        <w:t xml:space="preserve">Confirm the commercial model, Nigerian counsel and PSP engagement, product/jurisdiction matrix, merchant-of-record and fund-flow design, insurer and broker responsibilities, data inventory, policy register, role catalog, approval thresholds, and pilot branch. Produce signed process maps, state definitions, evidence checklist, privacy notices, customer terms, and risk register.</w:t>
      </w:r>
    </w:p>
    <w:p>
      <w:pPr>
        <w:pStyle w:val="MdSpace"/>
        <w:spacing w:before="0" w:after="60"/>
      </w:pPr>
    </w:p>
    <w:p>
      <w:pPr>
        <w:pStyle w:val="MdParagraph"/>
      </w:pPr>
      <w:r>
        <w:rPr>
          <w:rStyle w:val="MdStrong"/>
          <w:b/>
          <w:bCs/>
        </w:rPr>
        <w:t xml:space="preserve">Exit criteria:</w:t>
      </w:r>
      <w:r>
        <w:t xml:space="preserve"> no unresolved decision about who owns funds, who may publish/release vehicles, who verifies ownership, or who responds to incidents.</w:t>
      </w:r>
    </w:p>
    <w:p>
      <w:pPr>
        <w:pStyle w:val="MdSpace"/>
        <w:spacing w:before="0" w:after="60"/>
      </w:pPr>
    </w:p>
    <w:p>
      <w:pPr>
        <w:pStyle w:val="Heading3"/>
        <w:pStyle w:val="MdHeading3"/>
      </w:pPr>
      <w:r>
        <w:t xml:space="preserve">Phase 1 — Foundation and one-branch control spine (4–8 weeks)</w:t>
      </w:r>
    </w:p>
    <w:p>
      <w:pPr>
        <w:pStyle w:val="MdParagraph"/>
      </w:pPr>
      <w:r>
        <w:t xml:space="preserve">Build canonical identity, branch-scoped RBAC, MFA, vehicle and evidence model, inventory states, audit log, policy versioning, queue and SLA model, transactional outbox, in-app notification center, and basic reporting. Implement direct-API authorization tests, document masking, and maker-checker primitives.</w:t>
      </w:r>
    </w:p>
    <w:p>
      <w:pPr>
        <w:pStyle w:val="MdSpace"/>
        <w:spacing w:before="0" w:after="60"/>
      </w:pPr>
    </w:p>
    <w:p>
      <w:pPr>
        <w:pStyle w:val="MdParagraph"/>
      </w:pPr>
      <w:r>
        <w:rPr>
          <w:rStyle w:val="MdStrong"/>
          <w:b/>
          <w:bCs/>
        </w:rPr>
        <w:t xml:space="preserve">Exit criteria:</w:t>
      </w:r>
      <w:r>
        <w:t xml:space="preserve"> every sensitive API has object-level authorization; every vehicle has a traceable owner and state; every consequential change has an audit event; no raw payment credentials are stored.</w:t>
      </w:r>
    </w:p>
    <w:p>
      <w:pPr>
        <w:pStyle w:val="MdSpace"/>
        <w:spacing w:before="0" w:after="60"/>
      </w:pPr>
    </w:p>
    <w:p>
      <w:pPr>
        <w:pStyle w:val="Heading3"/>
        <w:pStyle w:val="MdHeading3"/>
      </w:pPr>
      <w:r>
        <w:t xml:space="preserve">Phase 2 — Buy/sell and acquisition pilot (6–10 weeks)</w:t>
      </w:r>
    </w:p>
    <w:p>
      <w:pPr>
        <w:pStyle w:val="MdParagraph"/>
      </w:pPr>
      <w:r>
        <w:t xml:space="preserve">Implement sell-car lead, VIN/document validation, offer versioning, inspection, acquisition acceptance, listing approval, reservation hold, payment handoff, delivery acceptance, and return/dispute cases. Add customer-visible status projection and policy disclosure at decision points.</w:t>
      </w:r>
    </w:p>
    <w:p>
      <w:pPr>
        <w:pStyle w:val="MdSpace"/>
        <w:spacing w:before="0" w:after="60"/>
      </w:pPr>
    </w:p>
    <w:p>
      <w:pPr>
        <w:pStyle w:val="MdParagraph"/>
      </w:pPr>
      <w:r>
        <w:rPr>
          <w:rStyle w:val="MdStrong"/>
          <w:b/>
          <w:bCs/>
        </w:rPr>
        <w:t xml:space="preserve">Exit criteria:</w:t>
      </w:r>
      <w:r>
        <w:t xml:space="preserve"> duplicate VIN, title mismatch, stale offer, concurrent reservation, payment webhook retry, failed delivery, and return/refund race tests pass.</w:t>
      </w:r>
    </w:p>
    <w:p>
      <w:pPr>
        <w:pStyle w:val="MdSpace"/>
        <w:spacing w:before="0" w:after="60"/>
      </w:pPr>
    </w:p>
    <w:p>
      <w:pPr>
        <w:pStyle w:val="Heading3"/>
        <w:pStyle w:val="MdHeading3"/>
      </w:pPr>
      <w:r>
        <w:t xml:space="preserve">Phase 3 — Rental pilot (4–8 weeks)</w:t>
      </w:r>
    </w:p>
    <w:p>
      <w:pPr>
        <w:pStyle w:val="MdParagraph"/>
      </w:pPr>
      <w:r>
        <w:t xml:space="preserve">Implement availability locks, driver/license verification, booking, pre/post-trip evidence, incidents, damage claims, deposit ledger, cancellation/no-show rules, and safety blocks. Connect insurer and authorized verification providers only after legal and data-sharing review.</w:t>
      </w:r>
    </w:p>
    <w:p>
      <w:pPr>
        <w:pStyle w:val="MdSpace"/>
        <w:spacing w:before="0" w:after="60"/>
      </w:pPr>
    </w:p>
    <w:p>
      <w:pPr>
        <w:pStyle w:val="MdParagraph"/>
      </w:pPr>
      <w:r>
        <w:rPr>
          <w:rStyle w:val="MdStrong"/>
          <w:b/>
          <w:bCs/>
        </w:rPr>
        <w:t xml:space="preserve">Exit criteria:</w:t>
      </w:r>
      <w:r>
        <w:t xml:space="preserve"> recalled or rental-blocked vehicles cannot start trips; check-out staff cannot approve their own damage/refund; deposit and refund outcomes are reproducible from evidence and policy version.</w:t>
      </w:r>
    </w:p>
    <w:p>
      <w:pPr>
        <w:pStyle w:val="MdSpace"/>
        <w:spacing w:before="0" w:after="60"/>
      </w:pPr>
    </w:p>
    <w:p>
      <w:pPr>
        <w:pStyle w:val="Heading3"/>
        <w:pStyle w:val="MdHeading3"/>
      </w:pPr>
      <w:r>
        <w:t xml:space="preserve">Phase 4 — Import lane and logistics (6–10 weeks)</w:t>
      </w:r>
    </w:p>
    <w:p>
      <w:pPr>
        <w:pStyle w:val="MdParagraph"/>
      </w:pPr>
      <w:r>
        <w:t xml:space="preserve">Implement route eligibility, quote assumptions, document pack, broker/carrier handoffs, shipment milestones, customs holds, duty/tax events, change orders, delivery, and landed-cost reconciliation. Add provider/vendor escalation and visible ownership of blocked cases.</w:t>
      </w:r>
    </w:p>
    <w:p>
      <w:pPr>
        <w:pStyle w:val="MdSpace"/>
        <w:spacing w:before="0" w:after="60"/>
      </w:pPr>
    </w:p>
    <w:p>
      <w:pPr>
        <w:pStyle w:val="MdParagraph"/>
      </w:pPr>
      <w:r>
        <w:rPr>
          <w:rStyle w:val="MdStrong"/>
          <w:b/>
          <w:bCs/>
        </w:rPr>
        <w:t xml:space="preserve">Exit criteria:</w:t>
      </w:r>
      <w:r>
        <w:t xml:space="preserve"> document deficiency, customs hold, route change, damage, demurrage, and rejected import cases have an owner, next action, customer status, and immutable evidence.</w:t>
      </w:r>
    </w:p>
    <w:p>
      <w:pPr>
        <w:pStyle w:val="MdSpace"/>
        <w:spacing w:before="0" w:after="60"/>
      </w:pPr>
    </w:p>
    <w:p>
      <w:pPr>
        <w:pStyle w:val="Heading3"/>
        <w:pStyle w:val="MdHeading3"/>
      </w:pPr>
      <w:r>
        <w:t xml:space="preserve">Phase 5 — Scale, assurance, and optimization (ongoing)</w:t>
      </w:r>
    </w:p>
    <w:p>
      <w:pPr>
        <w:pStyle w:val="MdParagraph"/>
      </w:pPr>
      <w:r>
        <w:t xml:space="preserve">Add multi-branch scopes, analytics, fraud models with human review, automated reconciliation, PSP/provider failover procedures, penetration testing, disaster recovery exercises, access recertification, policy analytics, and external audit support. Expand products or branches only after control metrics meet thresholds.</w:t>
      </w:r>
    </w:p>
    <w:p>
      <w:pPr>
        <w:pStyle w:val="MdSpace"/>
        <w:spacing w:before="0" w:after="60"/>
      </w:pPr>
    </w:p>
    <w:p>
      <w:pPr>
        <w:pStyle w:val="Heading2"/>
        <w:pStyle w:val="MdHeading2"/>
      </w:pPr>
      <w:r>
        <w:t xml:space="preserve">15. Acceptance criteria</w:t>
      </w:r>
    </w:p>
    <w:p>
      <w:pPr>
        <w:pStyle w:val="Heading3"/>
        <w:pStyle w:val="MdHeading3"/>
      </w:pPr>
      <w:r>
        <w:t xml:space="preserve">15.1 Authorization and governance</w:t>
      </w:r>
    </w:p>
    <w:p>
      <w:pPr>
        <w:pStyle w:val="MdListItem"/>
        <w:numPr>
          <w:ilvl w:val="0"/>
          <w:numId w:val="3"/>
        </w:numPr>
      </w:pPr>
      <w:r>
        <w:t xml:space="preserve">A user cannot read or mutate another branch’s vehicle, customer, booking, ticket, document, or finance object through direct IDs, bulk endpoints, downloads, or background jobs.</w:t>
      </w:r>
    </w:p>
    <w:p>
      <w:pPr>
        <w:pStyle w:val="MdListItem"/>
        <w:numPr>
          <w:ilvl w:val="0"/>
          <w:numId w:val="3"/>
        </w:numPr>
      </w:pPr>
      <w:r>
        <w:t xml:space="preserve">A user cannot approve a record they created or materially edited.</w:t>
      </w:r>
    </w:p>
    <w:p>
      <w:pPr>
        <w:pStyle w:val="MdListItem"/>
        <w:numPr>
          <w:ilvl w:val="0"/>
          <w:numId w:val="3"/>
        </w:numPr>
      </w:pPr>
      <w:r>
        <w:t xml:space="preserve">Super admin cannot be the sole routine approver for a vehicle, payment, refund, title exception, or deal.</w:t>
      </w:r>
    </w:p>
    <w:p>
      <w:pPr>
        <w:pStyle w:val="MdListItem"/>
        <w:numPr>
          <w:ilvl w:val="0"/>
          <w:numId w:val="3"/>
        </w:numPr>
      </w:pPr>
      <w:r>
        <w:t xml:space="preserve">Role, scope, policy, break-glass, and export changes are logged with actor, reason, time, result, and correlation ID.</w:t>
      </w:r>
    </w:p>
    <w:p>
      <w:pPr>
        <w:pStyle w:val="MdListItem"/>
        <w:numPr>
          <w:ilvl w:val="0"/>
          <w:numId w:val="3"/>
        </w:numPr>
      </w:pPr>
      <w:r>
        <w:t xml:space="preserve">Terminated users lose access immediately and privileged access is recertified monthly.</w:t>
      </w:r>
    </w:p>
    <w:p>
      <w:pPr>
        <w:pStyle w:val="MdSpace"/>
        <w:spacing w:before="0" w:after="60"/>
      </w:pPr>
    </w:p>
    <w:p>
      <w:pPr>
        <w:pStyle w:val="Heading3"/>
        <w:pStyle w:val="MdHeading3"/>
      </w:pPr>
      <w:r>
        <w:t xml:space="preserve">15.2 Inventory and workflow integrity</w:t>
      </w:r>
    </w:p>
    <w:p>
      <w:pPr>
        <w:pStyle w:val="MdListItem"/>
        <w:numPr>
          <w:ilvl w:val="0"/>
          <w:numId w:val="3"/>
        </w:numPr>
      </w:pPr>
      <w:r>
        <w:t xml:space="preserve">A vehicle cannot be simultaneously sold, reserved, rented, quarantined, or otherwise unavailable without an explicit, compatible state rule.</w:t>
      </w:r>
    </w:p>
    <w:p>
      <w:pPr>
        <w:pStyle w:val="MdListItem"/>
        <w:numPr>
          <w:ilvl w:val="0"/>
          <w:numId w:val="3"/>
        </w:numPr>
      </w:pPr>
      <w:r>
        <w:t xml:space="preserve">Concurrent reservation or rental requests either create one expiring atomic hold or fail safely.</w:t>
      </w:r>
    </w:p>
    <w:p>
      <w:pPr>
        <w:pStyle w:val="MdListItem"/>
        <w:numPr>
          <w:ilvl w:val="0"/>
          <w:numId w:val="3"/>
        </w:numPr>
      </w:pPr>
      <w:r>
        <w:t xml:space="preserve">Publication is blocked when title/ownership, VIN, safety, recall, inspection, or required disclosure evidence is incomplete.</w:t>
      </w:r>
    </w:p>
    <w:p>
      <w:pPr>
        <w:pStyle w:val="MdListItem"/>
        <w:numPr>
          <w:ilvl w:val="0"/>
          <w:numId w:val="3"/>
        </w:numPr>
      </w:pPr>
      <w:r>
        <w:t xml:space="preserve">Post-publication material edits create a new version and trigger the configured reapproval or unpublish path.</w:t>
      </w:r>
    </w:p>
    <w:p>
      <w:pPr>
        <w:pStyle w:val="MdListItem"/>
        <w:numPr>
          <w:ilvl w:val="0"/>
          <w:numId w:val="3"/>
        </w:numPr>
      </w:pPr>
      <w:r>
        <w:t xml:space="preserve">Every state transition displays customer-safe status, internal reason code, next action, owner, due time, and evidence reference.</w:t>
      </w:r>
    </w:p>
    <w:p>
      <w:pPr>
        <w:pStyle w:val="MdSpace"/>
        <w:spacing w:before="0" w:after="60"/>
      </w:pPr>
    </w:p>
    <w:p>
      <w:pPr>
        <w:pStyle w:val="Heading3"/>
        <w:pStyle w:val="MdHeading3"/>
      </w:pPr>
      <w:r>
        <w:t xml:space="preserve">15.3 Payments and refunds</w:t>
      </w:r>
    </w:p>
    <w:p>
      <w:pPr>
        <w:pStyle w:val="MdListItem"/>
        <w:numPr>
          <w:ilvl w:val="0"/>
          <w:numId w:val="3"/>
        </w:numPr>
      </w:pPr>
      <w:r>
        <w:t xml:space="preserve">Webhook retries and out-of-order events do not create duplicate capture, refund, or settlement effects.</w:t>
      </w:r>
    </w:p>
    <w:p>
      <w:pPr>
        <w:pStyle w:val="MdListItem"/>
        <w:numPr>
          <w:ilvl w:val="0"/>
          <w:numId w:val="3"/>
        </w:numPr>
      </w:pPr>
      <w:r>
        <w:t xml:space="preserve">Payment preparation, approval/release, and reconciliation are separate authorities or have documented compensating controls.</w:t>
      </w:r>
    </w:p>
    <w:p>
      <w:pPr>
        <w:pStyle w:val="MdListItem"/>
        <w:numPr>
          <w:ilvl w:val="0"/>
          <w:numId w:val="3"/>
        </w:numPr>
      </w:pPr>
      <w:r>
        <w:t xml:space="preserve">Refunds default to the verified original payer/account; exceptions require approval and audit evidence.</w:t>
      </w:r>
    </w:p>
    <w:p>
      <w:pPr>
        <w:pStyle w:val="MdListItem"/>
        <w:numPr>
          <w:ilvl w:val="0"/>
          <w:numId w:val="3"/>
        </w:numPr>
      </w:pPr>
      <w:r>
        <w:t xml:space="preserve">Support tools never reveal PAN, CVV, bank credentials, or payment secrets.</w:t>
      </w:r>
    </w:p>
    <w:p>
      <w:pPr>
        <w:pStyle w:val="MdSpace"/>
        <w:spacing w:before="0" w:after="60"/>
      </w:pPr>
    </w:p>
    <w:p>
      <w:pPr>
        <w:pStyle w:val="Heading3"/>
        <w:pStyle w:val="MdHeading3"/>
      </w:pPr>
      <w:r>
        <w:t xml:space="preserve">15.4 Privacy, compliance, and security</w:t>
      </w:r>
    </w:p>
    <w:p>
      <w:pPr>
        <w:pStyle w:val="MdListItem"/>
        <w:numPr>
          <w:ilvl w:val="0"/>
          <w:numId w:val="3"/>
        </w:numPr>
      </w:pPr>
      <w:r>
        <w:t xml:space="preserve">The system can produce a field-level data inventory, purpose, lawful-basis/consent record, recipient, transfer, retention rule, and owner.</w:t>
      </w:r>
    </w:p>
    <w:p>
      <w:pPr>
        <w:pStyle w:val="MdListItem"/>
        <w:numPr>
          <w:ilvl w:val="0"/>
          <w:numId w:val="3"/>
        </w:numPr>
      </w:pPr>
      <w:r>
        <w:t xml:space="preserve">Rights requests, complaints, legal holds, deletion/anonymization, and incident decisions have case IDs and status histories.</w:t>
      </w:r>
    </w:p>
    <w:p>
      <w:pPr>
        <w:pStyle w:val="MdListItem"/>
        <w:numPr>
          <w:ilvl w:val="0"/>
          <w:numId w:val="3"/>
        </w:numPr>
      </w:pPr>
      <w:r>
        <w:t xml:space="preserve">Security alerts cover unusual exports, authorization failures, role changes, break-glass use, payment mismatches, and log-integrity failures.</w:t>
      </w:r>
    </w:p>
    <w:p>
      <w:pPr>
        <w:pStyle w:val="MdListItem"/>
        <w:numPr>
          <w:ilvl w:val="0"/>
          <w:numId w:val="3"/>
        </w:numPr>
      </w:pPr>
      <w:r>
        <w:t xml:space="preserve">Logs are append-only or tamper-evident, access-controlled, time-synchronized, and free of passwords, tokens, CVV/PIN, and unnecessary identity documents.</w:t>
      </w:r>
    </w:p>
    <w:p>
      <w:pPr>
        <w:pStyle w:val="MdListItem"/>
        <w:numPr>
          <w:ilvl w:val="0"/>
          <w:numId w:val="3"/>
        </w:numPr>
      </w:pPr>
      <w:r>
        <w:t xml:space="preserve">High-risk identity, fraud, location, or automated-eligibility use has a documented DPIA and human review path where required.</w:t>
      </w:r>
    </w:p>
    <w:p>
      <w:pPr>
        <w:pStyle w:val="MdSpace"/>
        <w:spacing w:before="0" w:after="60"/>
      </w:pPr>
    </w:p>
    <w:p>
      <w:pPr>
        <w:pStyle w:val="Heading3"/>
        <w:pStyle w:val="MdHeading3"/>
      </w:pPr>
      <w:r>
        <w:t xml:space="preserve">15.5 Notifications and operations</w:t>
      </w:r>
    </w:p>
    <w:p>
      <w:pPr>
        <w:pStyle w:val="MdListItem"/>
        <w:numPr>
          <w:ilvl w:val="0"/>
          <w:numId w:val="3"/>
        </w:numPr>
      </w:pPr>
      <w:r>
        <w:t xml:space="preserve">Business change and outbox write occur atomically.</w:t>
      </w:r>
    </w:p>
    <w:p>
      <w:pPr>
        <w:pStyle w:val="MdListItem"/>
        <w:numPr>
          <w:ilvl w:val="0"/>
          <w:numId w:val="3"/>
        </w:numPr>
      </w:pPr>
      <w:r>
        <w:t xml:space="preserve">Logical notifications are deduplicated by stable event, recipient, channel, and template version.</w:t>
      </w:r>
    </w:p>
    <w:p>
      <w:pPr>
        <w:pStyle w:val="MdListItem"/>
        <w:numPr>
          <w:ilvl w:val="0"/>
          <w:numId w:val="3"/>
        </w:numPr>
      </w:pPr>
      <w:r>
        <w:t xml:space="preserve">Provider callback signatures are verified, replay is rejected, and stale in-progress deliveries are reconciled.</w:t>
      </w:r>
    </w:p>
    <w:p>
      <w:pPr>
        <w:pStyle w:val="MdListItem"/>
        <w:numPr>
          <w:ilvl w:val="0"/>
          <w:numId w:val="3"/>
        </w:numPr>
      </w:pPr>
      <w:r>
        <w:t xml:space="preserve">Suppression, quiet hours, channel consent, and essential-notice policy are rechecked immediately before send.</w:t>
      </w:r>
    </w:p>
    <w:p>
      <w:pPr>
        <w:pStyle w:val="MdListItem"/>
        <w:numPr>
          <w:ilvl w:val="0"/>
          <w:numId w:val="3"/>
        </w:numPr>
      </w:pPr>
      <w:r>
        <w:t xml:space="preserve">DLQs have an owner, retry/replay process, age metric, and escalation.</w:t>
      </w:r>
    </w:p>
    <w:p>
      <w:pPr>
        <w:pStyle w:val="MdSpace"/>
        <w:spacing w:before="0" w:after="60"/>
      </w:pPr>
    </w:p>
    <w:p>
      <w:pPr>
        <w:pStyle w:val="Heading2"/>
        <w:pStyle w:val="MdHeading2"/>
      </w:pPr>
      <w:r>
        <w:t xml:space="preserve">16. Open decisions requiring user confirmation</w:t>
      </w:r>
    </w:p>
    <w:p>
      <w:pPr>
        <w:pStyle w:val="MdListItem"/>
        <w:numPr>
          <w:ilvl w:val="0"/>
          <w:numId w:val="2"/>
        </w:numPr>
      </w:pPr>
      <w:r>
        <w:rPr>
          <w:rStyle w:val="MdStrong"/>
          <w:b/>
          <w:bCs/>
        </w:rPr>
        <w:t xml:space="preserve">Business model:</w:t>
      </w:r>
      <w:r>
        <w:t xml:space="preserve"> Is ShabaAutos the seller, marketplace, rental operator, import principal, agent, or different roles by product and branch?</w:t>
      </w:r>
    </w:p>
    <w:p>
      <w:pPr>
        <w:pStyle w:val="MdListItem"/>
        <w:numPr>
          <w:ilvl w:val="0"/>
          <w:numId w:val="2"/>
        </w:numPr>
      </w:pPr>
      <w:r>
        <w:rPr>
          <w:rStyle w:val="MdStrong"/>
          <w:b/>
          <w:bCs/>
        </w:rPr>
        <w:t xml:space="preserve">Funds flow:</w:t>
      </w:r>
      <w:r>
        <w:t xml:space="preserve"> Who is merchant of record? Will ShabaAutos ever custody or conditionally release funds? Which CBN-listed PSP and licensed services will be used?</w:t>
      </w:r>
    </w:p>
    <w:p>
      <w:pPr>
        <w:pStyle w:val="MdListItem"/>
        <w:numPr>
          <w:ilvl w:val="0"/>
          <w:numId w:val="2"/>
        </w:numPr>
      </w:pPr>
      <w:r>
        <w:rPr>
          <w:rStyle w:val="MdStrong"/>
          <w:b/>
          <w:bCs/>
        </w:rPr>
        <w:t xml:space="preserve">Geography:</w:t>
      </w:r>
      <w:r>
        <w:t xml:space="preserve"> Which Nigerian states and import origin/destination lanes are in the first release? Will Lagos DVIS or FRSC integrations be used, and under what authorization?</w:t>
      </w:r>
    </w:p>
    <w:p>
      <w:pPr>
        <w:pStyle w:val="MdListItem"/>
        <w:numPr>
          <w:ilvl w:val="0"/>
          <w:numId w:val="2"/>
        </w:numPr>
      </w:pPr>
      <w:r>
        <w:rPr>
          <w:rStyle w:val="MdStrong"/>
          <w:b/>
          <w:bCs/>
        </w:rPr>
        <w:t xml:space="preserve">Inventory ownership:</w:t>
      </w:r>
      <w:r>
        <w:t xml:space="preserve"> Does ShabaAutos own vehicles, hold consigned vehicles, list third-party vehicles, or support all three with different disclosures?</w:t>
      </w:r>
    </w:p>
    <w:p>
      <w:pPr>
        <w:pStyle w:val="MdListItem"/>
        <w:numPr>
          <w:ilvl w:val="0"/>
          <w:numId w:val="2"/>
        </w:numPr>
      </w:pPr>
      <w:r>
        <w:rPr>
          <w:rStyle w:val="MdStrong"/>
          <w:b/>
          <w:bCs/>
        </w:rPr>
        <w:t xml:space="preserve">Rental model:</w:t>
      </w:r>
      <w:r>
        <w:t xml:space="preserve"> Does ShabaAutos own the fleet, operate partner vehicles, or provide a peer marketplace? Who bears insurance and damage risk?</w:t>
      </w:r>
    </w:p>
    <w:p>
      <w:pPr>
        <w:pStyle w:val="MdListItem"/>
        <w:numPr>
          <w:ilvl w:val="0"/>
          <w:numId w:val="2"/>
        </w:numPr>
      </w:pPr>
      <w:r>
        <w:rPr>
          <w:rStyle w:val="MdStrong"/>
          <w:b/>
          <w:bCs/>
        </w:rPr>
        <w:t xml:space="preserve">Approval limits:</w:t>
      </w:r>
      <w:r>
        <w:t xml:space="preserve"> What are the initial naira and percentage thresholds for discounts, refunds, write-offs, title exceptions, import change orders, and exports? Who is the owner/board approver?</w:t>
      </w:r>
    </w:p>
    <w:p>
      <w:pPr>
        <w:pStyle w:val="MdListItem"/>
        <w:numPr>
          <w:ilvl w:val="0"/>
          <w:numId w:val="2"/>
        </w:numPr>
      </w:pPr>
      <w:r>
        <w:rPr>
          <w:rStyle w:val="MdStrong"/>
          <w:b/>
          <w:bCs/>
        </w:rPr>
        <w:t xml:space="preserve">Return and cancellation policy:</w:t>
      </w:r>
      <w:r>
        <w:t xml:space="preserve"> What products have a return or acceptance window? What mileage, condition, fee, no-show, and refund rules apply?</w:t>
      </w:r>
    </w:p>
    <w:p>
      <w:pPr>
        <w:pStyle w:val="MdListItem"/>
        <w:numPr>
          <w:ilvl w:val="0"/>
          <w:numId w:val="2"/>
        </w:numPr>
      </w:pPr>
      <w:r>
        <w:rPr>
          <w:rStyle w:val="MdStrong"/>
          <w:b/>
          <w:bCs/>
        </w:rPr>
        <w:t xml:space="preserve">Evidence standards:</w:t>
      </w:r>
      <w:r>
        <w:t xml:space="preserve"> Which documents and independent checks are mandatory for publication, sale, rental pickup, import release, and customer handoff?</w:t>
      </w:r>
    </w:p>
    <w:p>
      <w:pPr>
        <w:pStyle w:val="MdListItem"/>
        <w:numPr>
          <w:ilvl w:val="0"/>
          <w:numId w:val="2"/>
        </w:numPr>
      </w:pPr>
      <w:r>
        <w:rPr>
          <w:rStyle w:val="MdStrong"/>
          <w:b/>
          <w:bCs/>
        </w:rPr>
        <w:t xml:space="preserve">Data roles and retention:</w:t>
      </w:r>
      <w:r>
        <w:t xml:space="preserve"> What controller/processor structure, DPO/privacy operating model, data residency, retention schedule, and cross-border vendors will be approved?</w:t>
      </w:r>
    </w:p>
    <w:p>
      <w:pPr>
        <w:pStyle w:val="MdListItem"/>
        <w:numPr>
          <w:ilvl w:val="0"/>
          <w:numId w:val="2"/>
        </w:numPr>
      </w:pPr>
      <w:r>
        <w:rPr>
          <w:rStyle w:val="MdStrong"/>
          <w:b/>
          <w:bCs/>
        </w:rPr>
        <w:t xml:space="preserve">Customer communications:</w:t>
      </w:r>
      <w:r>
        <w:t xml:space="preserve"> Which channels are enabled at launch? What consent, quiet-hour, language, template, and escalation policy applies to SMS and WhatsApp?</w:t>
      </w:r>
    </w:p>
    <w:p>
      <w:pPr>
        <w:pStyle w:val="MdListItem"/>
        <w:numPr>
          <w:ilvl w:val="0"/>
          <w:numId w:val="2"/>
        </w:numPr>
      </w:pPr>
      <w:r>
        <w:rPr>
          <w:rStyle w:val="MdStrong"/>
          <w:b/>
          <w:bCs/>
        </w:rPr>
        <w:t xml:space="preserve">Branch staffing:</w:t>
      </w:r>
      <w:r>
        <w:t xml:space="preserve"> Can the pilot branch support independent inspection, operations, finance approval, reconciliation, support, and incident ownership? If not, which compensating controls are accepted?</w:t>
      </w:r>
    </w:p>
    <w:p>
      <w:pPr>
        <w:pStyle w:val="MdListItem"/>
        <w:numPr>
          <w:ilvl w:val="0"/>
          <w:numId w:val="2"/>
        </w:numPr>
      </w:pPr>
      <w:r>
        <w:rPr>
          <w:rStyle w:val="MdStrong"/>
          <w:b/>
          <w:bCs/>
        </w:rPr>
        <w:t xml:space="preserve">Success thresholds:</w:t>
      </w:r>
      <w:r>
        <w:t xml:space="preserve"> What approval latency, inventory aging, reconciliation completion, refund time, support SLA, fraud-loss, and customer-satisfaction targets define pilot success?</w:t>
      </w:r>
    </w:p>
    <w:p>
      <w:pPr>
        <w:pStyle w:val="MdSpace"/>
        <w:spacing w:before="0" w:after="60"/>
      </w:pPr>
    </w:p>
    <w:p>
      <w:pPr>
        <w:pStyle w:val="Heading2"/>
        <w:pStyle w:val="MdHeading2"/>
      </w:pPr>
      <w:r>
        <w:t xml:space="preserve">17. Final recommendation</w:t>
      </w:r>
    </w:p>
    <w:p>
      <w:pPr>
        <w:pStyle w:val="MdParagraph"/>
      </w:pPr>
      <w:r>
        <w:t xml:space="preserve">Proceed with a controlled one-branch pilot only after decisions 1–6 are documented and counsel/PSP/insurer reviews are scheduled. Build the authorization, canonical inventory, evidence, audit, payment-reconciliation, notification, and queue foundations before optimizing the customer interface. The most dangerous implementation shortcut is to launch attractive listings and payment flows while leaving title evidence, object-level access, fund custody, refunds, and exception ownership implicit. ShabaAutos should instead make those controls visible in the product, enforce them in services, and measure them in operations.</w:t>
      </w:r>
    </w:p>
    <w:p>
      <w:pPr>
        <w:pStyle w:val="MdSpace"/>
        <w:spacing w:before="0" w:after="60"/>
      </w:pPr>
    </w:p>
    <w:p>
      <w:pPr>
        <w:pStyle w:val="Heading2"/>
        <w:pStyle w:val="MdHeading2"/>
      </w:pPr>
      <w:r>
        <w:t xml:space="preserve">References</w:t>
      </w:r>
    </w:p>
    <w:p>
      <w:pPr>
        <w:pStyle w:val="MdParagraph"/>
      </w:pPr>
      <w:r>
        <w:rPr>
          <w:rStyle w:val="MdEm"/>
          <w:i/>
          <w:iCs/>
        </w:rPr>
        <w:t xml:space="preserve">Reference note:</w:t>
      </w:r>
      <w:r>
        <w:t xml:space="preserve"> References </w:t>
      </w:r>
      <w:hyperlink w:history="1" r:id="rIdp1wkxuqdcbu6iu09buheb">
        <w:r>
          <w:rPr>
            <w:rStyle w:val="MdLink"/>
          </w:rPr>
          <w:t xml:space="preserve">5</w:t>
        </w:r>
      </w:hyperlink>
      <w:r>
        <w:t xml:space="preserve">–</w:t>
      </w:r>
      <w:hyperlink w:history="1" r:id="rIdibola70tovheey2hbffjh">
        <w:r>
          <w:rPr>
            <w:rStyle w:val="MdLink"/>
          </w:rPr>
          <w:t xml:space="preserve">25</w:t>
        </w:r>
      </w:hyperlink>
      <w:r>
        <w:t xml:space="preserve"> are external operating examples and guidance supplied in the research JSON. They are not Nigerian legal requirements. References </w:t>
      </w:r>
      <w:hyperlink w:history="1" r:id="rId53h-eupso6rz1tebkf21b">
        <w:r>
          <w:rPr>
            <w:rStyle w:val="MdLink"/>
          </w:rPr>
          <w:t xml:space="preserve">26</w:t>
        </w:r>
      </w:hyperlink>
      <w:r>
        <w:t xml:space="preserve">–</w:t>
      </w:r>
      <w:hyperlink w:history="1" r:id="rIdoa8escjtvzmwgs8pzn_h2">
        <w:r>
          <w:rPr>
            <w:rStyle w:val="MdLink"/>
          </w:rPr>
          <w:t xml:space="preserve">36</w:t>
        </w:r>
      </w:hyperlink>
      <w:r>
        <w:t xml:space="preserve"> are the principal Nigeria privacy, payments, consumer, and verification sources identified in the research. References </w:t>
      </w:r>
      <w:hyperlink w:history="1" r:id="rIdr_gkpjr1vldy23avufuih">
        <w:r>
          <w:rPr>
            <w:rStyle w:val="MdLink"/>
          </w:rPr>
          <w:t xml:space="preserve">37</w:t>
        </w:r>
      </w:hyperlink>
      <w:r>
        <w:t xml:space="preserve">–</w:t>
      </w:r>
      <w:hyperlink w:history="1" r:id="rIdsq0ltxd1_tdyqjstj-sar">
        <w:r>
          <w:rPr>
            <w:rStyle w:val="MdLink"/>
          </w:rPr>
          <w:t xml:space="preserve">45</w:t>
        </w:r>
      </w:hyperlink>
      <w:r>
        <w:t xml:space="preserve"> support security, identity, eventing, messaging, and notification design. Reference </w:t>
      </w:r>
      <w:hyperlink w:history="1" r:id="rId8eblxuqbem4ag1a7lootz">
        <w:r>
          <w:rPr>
            <w:rStyle w:val="MdLink"/>
          </w:rPr>
          <w:t xml:space="preserve">46</w:t>
        </w:r>
      </w:hyperlink>
      <w:r>
        <w:t xml:space="preserve"> is a commercial rental-policy example.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akulsnl3inwxkzoaceo_" Type="http://schemas.openxmlformats.org/officeDocument/2006/relationships/hyperlink" Target="https://cheatsheetseries.owasp.org/cheatsheets/Authorization_Cheat_Sheet.html" TargetMode="External"/><Relationship Id="rIdy0yiml8ryhlqwiuyct16-" Type="http://schemas.openxmlformats.org/officeDocument/2006/relationships/hyperlink" Target="https://csrc.nist.gov/projects/role-based-access-control" TargetMode="External"/><Relationship Id="rIdqng4aqj_rtvke-km4s8qa" Type="http://schemas.openxmlformats.org/officeDocument/2006/relationships/hyperlink" Target="https://csrc.nist.gov/glossary/term/least_privilege" TargetMode="External"/><Relationship Id="rId0v9sgia20a-b8b35hrsm4" Type="http://schemas.openxmlformats.org/officeDocument/2006/relationships/hyperlink" Target="https://cheatsheetseries.owasp.org/cheatsheets/Authorization_Cheat_Sheet.html" TargetMode="External"/><Relationship Id="rIds-6xmuwt7hzi_wzhs47d7" Type="http://schemas.openxmlformats.org/officeDocument/2006/relationships/hyperlink" Target="https://cheatsheetseries.owasp.org/cheatsheets/Logging_Cheat_Sheet.html" TargetMode="External"/><Relationship Id="rId3bm5uvgpc8tixire5gae0" Type="http://schemas.openxmlformats.org/officeDocument/2006/relationships/hyperlink" Target="https://cheatsheetseries.owasp.org/cheatsheets/Authorization_Cheat_Sheet.html" TargetMode="External"/><Relationship Id="rId_385emrskkivrnnlcnbxf" Type="http://schemas.openxmlformats.org/officeDocument/2006/relationships/hyperlink" Target="https://csrc.nist.gov/projects/role-based-access-control" TargetMode="External"/><Relationship Id="rIdsomaq33ihhi_irmemhm08" Type="http://schemas.openxmlformats.org/officeDocument/2006/relationships/hyperlink" Target="https://csrc.nist.gov/glossary/term/least_privilege" TargetMode="External"/><Relationship Id="rId2clfncgwjwrolo2lkkqcz" Type="http://schemas.openxmlformats.org/officeDocument/2006/relationships/hyperlink" Target="https://pages.ebay.com/motors/escrow/index.html" TargetMode="External"/><Relationship Id="rIdcjqaqjahyutmefvlk01-f" Type="http://schemas.openxmlformats.org/officeDocument/2006/relationships/hyperlink" Target="https://consumer.ftc.gov/articles/buying-used-car-dealer" TargetMode="External"/><Relationship Id="rIdhvrtkp4e28fisugxqfxhh" Type="http://schemas.openxmlformats.org/officeDocument/2006/relationships/hyperlink" Target="https://www.carvana.com/help/purchasing-a-car/what-are-the-limits-of-the-7-day-money-back-guarantee/" TargetMode="External"/><Relationship Id="rIdbz3odingl5h0vd3kjwfeq" Type="http://schemas.openxmlformats.org/officeDocument/2006/relationships/hyperlink" Target="https://poc.frsc.gov.ng/" TargetMode="External"/><Relationship Id="rIdphv9aoxtitbdj8qb4kbnt" Type="http://schemas.openxmlformats.org/officeDocument/2006/relationships/hyperlink" Target="https://ndlverification.frsc.gov.ng/" TargetMode="External"/><Relationship Id="rId9dydf_bcbqpepzryfwi_o" Type="http://schemas.openxmlformats.org/officeDocument/2006/relationships/hyperlink" Target="https://www.cbp.gov/trade/basic-import-export/importing-car" TargetMode="External"/><Relationship Id="rIdcvj1p8l3epjqxc2q3zkmp" Type="http://schemas.openxmlformats.org/officeDocument/2006/relationships/hyperlink" Target="https://www.dhl.com/us-en/home/ship/customs-clearance-and-customs-declaration-faq.html" TargetMode="External"/><Relationship Id="rIdm2bdgfglrgnr9ff12cneq" Type="http://schemas.openxmlformats.org/officeDocument/2006/relationships/hyperlink" Target="https://www.carvana.com/help/extended-coverage-and-repairs/how-to-initiate-claim-with-silverrock-with-limited-warranty/" TargetMode="External"/><Relationship Id="rIdj29-o1ebg6pdia1fk2-28" Type="http://schemas.openxmlformats.org/officeDocument/2006/relationships/hyperlink" Target="https://www.nhtsa.gov/recalls" TargetMode="External"/><Relationship Id="rIde-ufapsjgl8qpefggyzc8" Type="http://schemas.openxmlformats.org/officeDocument/2006/relationships/hyperlink" Target="https://learn.microsoft.com/en-us/azure/architecture/patterns/idempotent-consumer" TargetMode="External"/><Relationship Id="rIdvk7vzxi8lworbu672wdqo" Type="http://schemas.openxmlformats.org/officeDocument/2006/relationships/hyperlink" Target="https://www.twilio.com/docs/messaging/guides/outbound-message-status-in-status-callbacks" TargetMode="External"/><Relationship Id="rIdfqi0rshepggkdafgnfuno" Type="http://schemas.openxmlformats.org/officeDocument/2006/relationships/hyperlink" Target="https://www.twilio.com/docs/sendgrid/for-developers/tracking-events/event" TargetMode="External"/><Relationship Id="rIdcyjger_tcrpghfnkv62xg" Type="http://schemas.openxmlformats.org/officeDocument/2006/relationships/hyperlink" Target="https://developers.facebook.com/documentation/business-messaging/whatsapp/templates/overview" TargetMode="External"/><Relationship Id="rIdzi4pjsxkp6v7j9jlvlokg" Type="http://schemas.openxmlformats.org/officeDocument/2006/relationships/hyperlink" Target="https://firebase.google.com/docs/cloud-messaging/manage-tokens" TargetMode="External"/><Relationship Id="rIdvtaqisk8bpt58tr_rjstf" Type="http://schemas.openxmlformats.org/officeDocument/2006/relationships/hyperlink" Target="https://www.enterprise.com/en/car-rental-faqs/us-reservations/change-cancel-reservation.html" TargetMode="External"/><Relationship Id="rId2wroehgpcastv1e0ram8z" Type="http://schemas.openxmlformats.org/officeDocument/2006/relationships/hyperlink" Target="https://www.twilio.com/docs/messaging/features/compliance-toolkit" TargetMode="External"/><Relationship Id="rIdabb3243fewrt-wu9uvmvf" Type="http://schemas.openxmlformats.org/officeDocument/2006/relationships/hyperlink" Target="https://cheatsheetseries.owasp.org/cheatsheets/Logging_Cheat_Sheet.html" TargetMode="External"/><Relationship Id="rId2zudvx8d_wr2fasij4iib" Type="http://schemas.openxmlformats.org/officeDocument/2006/relationships/hyperlink" Target="https://ndpc.gov.ng/" TargetMode="External"/><Relationship Id="rIdohtytr03knhikywxqe5ry" Type="http://schemas.openxmlformats.org/officeDocument/2006/relationships/hyperlink" Target="https://ndpc.gov.ng/wp-content/uploads/2025/07/NDP-ACT-GAID-2025-MARCH-20TH.pdf" TargetMode="External"/><Relationship Id="rIdn69njiiplsy-j13i-axpp" Type="http://schemas.openxmlformats.org/officeDocument/2006/relationships/hyperlink" Target="https://ndpc.gov.ng/wp-content/uploads/2025/07/NDP-ACT-GAID-2025-MARCH-20TH.pdf" TargetMode="External"/><Relationship Id="rIdlgf0kzlub70uvixrhws7u" Type="http://schemas.openxmlformats.org/officeDocument/2006/relationships/hyperlink" Target="https://www.cbn.gov.ng/PaymentsSystem/PSPs.html" TargetMode="External"/><Relationship Id="rIdanoeqxyye-wmxceyi9mor" Type="http://schemas.openxmlformats.org/officeDocument/2006/relationships/hyperlink" Target="https://www.cbn.gov.ng/supervision/AML-CFT/" TargetMode="External"/><Relationship Id="rIdg-dgkxylm4bb2lqpje35s" Type="http://schemas.openxmlformats.org/officeDocument/2006/relationships/hyperlink" Target="https://www.cbn.gov.ng/AboutCBN/Reforms.html" TargetMode="External"/><Relationship Id="rIdzthcehfk6zdlkxoet14al" Type="http://schemas.openxmlformats.org/officeDocument/2006/relationships/hyperlink" Target="https://www.pcisecuritystandards.org/standards/" TargetMode="External"/><Relationship Id="rIdadhjh2g7d0hitq33focib" Type="http://schemas.openxmlformats.org/officeDocument/2006/relationships/hyperlink" Target="https://fccpc.gov.ng/" TargetMode="External"/><Relationship Id="rIdjmbqfy87hp_wrwhtbmvm9" Type="http://schemas.openxmlformats.org/officeDocument/2006/relationships/hyperlink" Target="https://fccpc.gov.ng/consumers/consumer-rights-responsibilities/rights-responsibilities/" TargetMode="External"/><Relationship Id="rIdbij56fzqnllm0wq9qqikl" Type="http://schemas.openxmlformats.org/officeDocument/2006/relationships/hyperlink" Target="https://fccpc.gov.ng/resources-library/fccpa/" TargetMode="External"/><Relationship Id="rIdem-9muiecjnkjrcbbrmge" Type="http://schemas.openxmlformats.org/officeDocument/2006/relationships/hyperlink" Target="https://poc.frsc.gov.ng/" TargetMode="External"/><Relationship Id="rIdiidz5suexu3wrc1nrlonm" Type="http://schemas.openxmlformats.org/officeDocument/2006/relationships/hyperlink" Target="https://dvis.lg.gov.ng/verify-documents/" TargetMode="External"/><Relationship Id="rIdojvfacvjfxzv-tklvfzuk" Type="http://schemas.openxmlformats.org/officeDocument/2006/relationships/hyperlink" Target="https://ndlverification.frsc.gov.ng/" TargetMode="External"/><Relationship Id="rIdq7yrv1qrbtyi3q8ajgd5p" Type="http://schemas.openxmlformats.org/officeDocument/2006/relationships/hyperlink" Target="https://owasp.org/www-project-application-security-verification-standard/" TargetMode="External"/><Relationship Id="rIdp1wkxuqdcbu6iu09buheb" Type="http://schemas.openxmlformats.org/officeDocument/2006/relationships/hyperlink" Target="https://www.crowe.com/insights/13-internal-controls-dealerships-should-pressure-test" TargetMode="External"/><Relationship Id="rIdibola70tovheey2hbffjh" Type="http://schemas.openxmlformats.org/officeDocument/2006/relationships/hyperlink" Target="https://roadside.aaa.com/" TargetMode="External"/><Relationship Id="rId53h-eupso6rz1tebkf21b" Type="http://schemas.openxmlformats.org/officeDocument/2006/relationships/hyperlink" Target="https://ndpc.gov.ng/" TargetMode="External"/><Relationship Id="rIdoa8escjtvzmwgs8pzn_h2" Type="http://schemas.openxmlformats.org/officeDocument/2006/relationships/hyperlink" Target="https://ndlverification.frsc.gov.ng/" TargetMode="External"/><Relationship Id="rIdr_gkpjr1vldy23avufuih" Type="http://schemas.openxmlformats.org/officeDocument/2006/relationships/hyperlink" Target="https://top10.owasp.org/2025/A09_2025-Security_Logging_and_Alerting_Failures/" TargetMode="External"/><Relationship Id="rIdsq0ltxd1_tdyqjstj-sar" Type="http://schemas.openxmlformats.org/officeDocument/2006/relationships/hyperlink" Target="https://www.twilio.com/docs/messaging/features/compliance-toolkit" TargetMode="External"/><Relationship Id="rId8eblxuqbem4ag1a7lootz" Type="http://schemas.openxmlformats.org/officeDocument/2006/relationships/hyperlink" Target="https://www.enterprise.com/en/car-rental-faqs/us-reservations/change-cancel-reservation.html" TargetMode="External"/><Relationship Id="rId5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2026-09-12T15:39:36.865Z</dcterms:created>
  <dcterms:modified xsi:type="dcterms:W3CDTF">2026-09-12T15:39:36.865Z</dcterms:modified>
</cp:coreProperties>
</file>

<file path=docProps/custom.xml><?xml version="1.0" encoding="utf-8"?>
<Properties xmlns="http://schemas.openxmlformats.org/officeDocument/2006/custom-properties" xmlns:vt="http://schemas.openxmlformats.org/officeDocument/2006/docPropsVTypes"/>
</file>