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ind w:left="0" w:firstLine="0"/>
      </w:pPr>
      <w:r>
        <w:rPr>
          <w:outline w:val="0"/>
          <w:color w:val="010101"/>
          <w:u w:color="010101"/>
          <w:rtl w:val="0"/>
          <w14:textFill>
            <w14:solidFill>
              <w14:srgbClr w14:val="010101"/>
            </w14:solidFill>
          </w14:textFill>
        </w:rPr>
        <w:t>{trustName} JOINT TRUST</w:t>
      </w:r>
    </w:p>
    <w:p>
      <w:pPr>
        <w:pStyle w:val="Body"/>
        <w:spacing w:before="189"/>
        <w:ind w:left="362" w:firstLine="0"/>
        <w:rPr>
          <w:b w:val="1"/>
          <w:bCs w:val="1"/>
          <w:sz w:val="27"/>
          <w:szCs w:val="27"/>
        </w:rPr>
      </w:pPr>
      <w:r>
        <w:rPr>
          <w:b w:val="1"/>
          <w:bCs w:val="1"/>
          <w:outline w:val="0"/>
          <w:color w:val="010101"/>
          <w:sz w:val="27"/>
          <w:szCs w:val="27"/>
          <w:u w:color="010101"/>
          <w:rtl w:val="0"/>
          <w:lang w:val="en-US"/>
          <w14:textFill>
            <w14:solidFill>
              <w14:srgbClr w14:val="010101"/>
            </w14:solidFill>
          </w14:textFill>
        </w:rPr>
        <w:t>Dated {trustDate}</w:t>
      </w:r>
    </w:p>
    <w:p>
      <w:pPr>
        <w:pStyle w:val="Body"/>
        <w:spacing w:before="61" w:line="291" w:lineRule="auto"/>
        <w:ind w:left="366" w:hanging="2"/>
        <w:rPr>
          <w:sz w:val="26"/>
          <w:szCs w:val="26"/>
        </w:rPr>
      </w:pPr>
      <w:r>
        <w:rPr>
          <w:outline w:val="0"/>
          <w:color w:val="030303"/>
          <w:sz w:val="26"/>
          <w:szCs w:val="26"/>
          <w:u w:color="030303"/>
          <w:rtl w:val="0"/>
          <w:lang w:val="en-US"/>
          <w14:textFill>
            <w14:solidFill>
              <w14:srgbClr w14:val="030303"/>
            </w14:solidFill>
          </w14:textFill>
        </w:rPr>
        <w:t>A "qualifying trust" within the meaning of Section 11.13(j)(3) of the Texas Tax Code and Section 41.0021 of the Texas Property Code.</w:t>
      </w:r>
    </w:p>
    <w:p>
      <w:pPr>
        <w:pStyle w:val="Body"/>
        <w:spacing w:before="221" w:line="316" w:lineRule="auto"/>
        <w:ind w:left="353" w:right="362"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Please see Article One, Section C of this Trust Agreement for all provisions that make this a Qualifying Trust.</w:t>
      </w:r>
    </w:p>
    <w:p>
      <w:pPr>
        <w:pStyle w:val="Body"/>
        <w:spacing w:before="186" w:line="290" w:lineRule="auto"/>
        <w:ind w:left="358" w:right="362"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We, {husbandFullName} and {wifeFullName}, of Harris County, Texas (the "Grantors"), hereby transfer to {husbandFullName} and {wifeFullName}, as trustees, the property identified in the attached Schedule of Property. All such property, together with any property later transferred to this Trust and all income and reinvestments thereof, shall be held and administered according to the terms of this Trust.</w:t>
      </w:r>
    </w:p>
    <w:p>
      <w:pPr>
        <w:pStyle w:val="Body"/>
        <w:spacing w:before="36"/>
        <w:rPr>
          <w:sz w:val="20"/>
          <w:szCs w:val="20"/>
        </w:rPr>
      </w:pPr>
      <w: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5"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6" style="visibility:visible;position:absolute;margin-left:22.5pt;margin-top:13.9pt;width:531.0pt;height:1.0pt;z-index:25165926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186" w:line="290" w:lineRule="auto"/>
        <w:ind w:right="362"/>
        <w:rPr>
          <w:outline w:val="0"/>
          <w:color w:val="030303"/>
          <w:sz w:val="26"/>
          <w:szCs w:val="26"/>
          <w:u w:color="030303"/>
          <w14:textFill>
            <w14:solidFill>
              <w14:srgbClr w14:val="030303"/>
            </w14:solidFill>
          </w14:textFill>
        </w:rPr>
      </w:pPr>
    </w:p>
    <w:p>
      <w:pPr>
        <w:pStyle w:val="heading 6"/>
        <w:spacing w:before="1"/>
        <w:ind w:firstLine="363"/>
      </w:pPr>
      <w:r>
        <w:rPr>
          <w:outline w:val="0"/>
          <w:color w:val="030303"/>
          <w:u w:color="030303"/>
          <w:rtl w:val="0"/>
          <w:lang w:val="en-US"/>
          <w14:textFill>
            <w14:solidFill>
              <w14:srgbClr w14:val="030303"/>
            </w14:solidFill>
          </w14:textFill>
        </w:rPr>
        <w:t>ARTICLE ONE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Identifying Our Trust, Reliance Upon Our Trust by Third Parties, Qualifying Trust</w:t>
      </w:r>
    </w:p>
    <w:p>
      <w:pPr>
        <w:pStyle w:val="Body"/>
        <w:numPr>
          <w:ilvl w:val="0"/>
          <w:numId w:val="2"/>
        </w:numPr>
        <w:bidi w:val="0"/>
        <w:spacing w:before="230" w:line="319" w:lineRule="auto"/>
        <w:ind w:right="49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Identifying Our Trust: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This instrument, as from time to time amended, may be designated the: "</w:t>
      </w:r>
      <w:r>
        <w:rPr>
          <w:outline w:val="0"/>
          <w:color w:val="030303"/>
          <w:sz w:val="26"/>
          <w:szCs w:val="26"/>
          <w:u w:color="030303"/>
          <w:rtl w:val="0"/>
          <w14:textFill>
            <w14:solidFill>
              <w14:srgbClr w14:val="030303"/>
            </w14:solidFill>
          </w14:textFill>
        </w:rPr>
        <w:t>{trustName}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Revocable Living Trust, dated {trustDate}." For purposes of transferring property to this Trust or identifying it in beneficiary designations, the Trust may be identified as: "{husbandFullName} AND {wifeFullName}, TRUSTEES OF THE {trustName} JOINT TRUST DATED {trustDate}, AND ANY AMENDMENTS THERETO."</w:t>
      </w:r>
    </w:p>
    <w:p>
      <w:pPr>
        <w:pStyle w:val="Body"/>
        <w:numPr>
          <w:ilvl w:val="0"/>
          <w:numId w:val="3"/>
        </w:numPr>
        <w:bidi w:val="0"/>
        <w:spacing w:before="54" w:line="319" w:lineRule="auto"/>
        <w:ind w:right="38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Third Party Reliance: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Any person or institution dealing with the Trustee may rely upon a certification of trust or written representation by the Trustee as to the existence of this Trust and the Trustee's authority. No person dealing with the Trustee shall be required to inquire into the propriety of any action taken by the Trustee or the application of trust assets. A certification by the Trustee that the Trustee is acting in accordance with this Trust shall be conclusive in favor of any person relying upon it.</w:t>
      </w:r>
    </w:p>
    <w:p>
      <w:pPr>
        <w:pStyle w:val="Body"/>
        <w:numPr>
          <w:ilvl w:val="0"/>
          <w:numId w:val="4"/>
        </w:numPr>
        <w:bidi w:val="0"/>
        <w:spacing w:before="46" w:line="319" w:lineRule="auto"/>
        <w:ind w:right="53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Qualifying Trust under Texas Law: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Grantors intend that this Trust constitute a "qualifying trust" within the meaning of Section 11.13(j) (3) of the Texas Tax Code and Section 41.0021 of the Texas Property Code. The Grantors expressly reserve and retain the exclusive right to use and occupy the real property identified in Schedule A (as amended from time to time) as their principal residence, rent-free except for ordinary taxes, insurance, and maintenance expenses, for so long as either Grantor is living and this Trust remains in effect. The Grantors further declare that this Trust is revocable and that they retain a present beneficial interest in the residence sufficient to maintain all property-tax benefits and exemptions under Texas law, including but not limited to:</w:t>
      </w:r>
    </w:p>
    <w:p>
      <w:pPr>
        <w:pStyle w:val="Body"/>
        <w:numPr>
          <w:ilvl w:val="1"/>
          <w:numId w:val="4"/>
        </w:numPr>
        <w:bidi w:val="0"/>
        <w:spacing w:before="54"/>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general residence-homestead exemption under Texas Tax Code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11.13(b);</w:t>
      </w:r>
    </w:p>
    <w:p>
      <w:pPr>
        <w:pStyle w:val="Body"/>
        <w:numPr>
          <w:ilvl w:val="1"/>
          <w:numId w:val="4"/>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additional exemption for persons age 65 or older or disabled under</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11.13(c)-(d);</w:t>
      </w:r>
    </w:p>
    <w:p>
      <w:pPr>
        <w:pStyle w:val="Body"/>
        <w:numPr>
          <w:ilvl w:val="1"/>
          <w:numId w:val="5"/>
        </w:numPr>
        <w:bidi w:val="0"/>
        <w:spacing w:before="77"/>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school-district tax limitation ("tax ceiling") under</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11.26; and</w:t>
      </w:r>
    </w:p>
    <w:p>
      <w:pPr>
        <w:pStyle w:val="Body"/>
        <w:numPr>
          <w:ilvl w:val="1"/>
          <w:numId w:val="6"/>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local-option exemptions adopted by the applicable taxing units.</w:t>
      </w:r>
    </w:p>
    <w:p>
      <w:pPr>
        <w:pStyle w:val="Body"/>
        <w:spacing w:before="156" w:line="304"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 is the express intent of the Grantors that the conveyance of their residence into this Trust shall not affect, terminate, or suspend any existing or future homestead, over-65, or disabled exemptions or any limitation on ad valorem taxes. The Trustee is authorized and directed to execute and deliver any affidavits or certifications necessary to maintain such exemptions and to list the property in the name of the Grantors pursuant to Texas Tax Code</w:t>
      </w:r>
    </w:p>
    <w:p>
      <w:pPr>
        <w:pStyle w:val="Body"/>
        <w:spacing w:before="13"/>
        <w:ind w:left="955" w:firstLine="0"/>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25.135.</w:t>
      </w:r>
    </w:p>
    <w:p>
      <w:pPr>
        <w:pStyle w:val="Body"/>
        <w:spacing w:before="13"/>
        <w:rPr>
          <w:outline w:val="0"/>
          <w:color w:val="030303"/>
          <w:sz w:val="27"/>
          <w:szCs w:val="27"/>
          <w:u w:color="030303"/>
          <w14:textFill>
            <w14:solidFill>
              <w14:srgbClr w14:val="030303"/>
            </w14:solidFill>
          </w14:textFill>
        </w:rPr>
      </w:pPr>
    </w:p>
    <w:p>
      <w:pPr>
        <w:pStyle w:val="Body"/>
        <w:spacing w:before="36"/>
        <w:rPr>
          <w:sz w:val="20"/>
          <w:szCs w:val="20"/>
        </w:rPr>
      </w:pPr>
      <w: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6"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22.5pt;margin-top:13.9pt;width:531.0pt;height:1.0pt;z-index:25166028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272"/>
        <w:rPr>
          <w:sz w:val="27"/>
          <w:szCs w:val="27"/>
        </w:rPr>
      </w:pPr>
    </w:p>
    <w:p>
      <w:pPr>
        <w:pStyle w:val="Body"/>
        <w:spacing w:before="13"/>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TWO</w:t>
      </w:r>
    </w:p>
    <w:p>
      <w:pPr>
        <w:pStyle w:val="Body"/>
        <w:spacing w:before="1"/>
        <w:ind w:left="359"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Powers Reserved by Us as Grantors</w:t>
      </w:r>
    </w:p>
    <w:p>
      <w:pPr>
        <w:pStyle w:val="Body"/>
        <w:numPr>
          <w:ilvl w:val="0"/>
          <w:numId w:val="7"/>
        </w:numPr>
        <w:bidi w:val="0"/>
        <w:spacing w:before="215" w:line="300" w:lineRule="auto"/>
        <w:ind w:right="65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Powers Reserved by the Grantors: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retain the rights and powers set forth in this Article, in addition to any rights reserved elsewhere in this Trust Agreement.</w:t>
      </w:r>
    </w:p>
    <w:p>
      <w:pPr>
        <w:pStyle w:val="Body"/>
        <w:numPr>
          <w:ilvl w:val="0"/>
          <w:numId w:val="8"/>
        </w:numPr>
        <w:bidi w:val="0"/>
        <w:spacing w:before="65" w:line="306" w:lineRule="auto"/>
        <w:ind w:right="47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Action on Behalf of Our Trust: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Whenever both of us are serving as Trustee, either or both of us may act for and conduct business on behalf of our trust without the consent of any other Trustee. Whenever one of us is alive but not serving as Trustee, and the other is serving as Trustee, the one who is serving as Trustee may act for and conduct business on behalf of our trust without the consent of any other Trustee. After one of us dies, the ability of the survivor of us, when serving as Trustee, to conduct business on behalf of us without the consent of any other Trustee is subject to the terms and conditions of our trust.</w:t>
      </w:r>
    </w:p>
    <w:p>
      <w:pPr>
        <w:pStyle w:val="Body"/>
        <w:numPr>
          <w:ilvl w:val="0"/>
          <w:numId w:val="9"/>
        </w:numPr>
        <w:bidi w:val="0"/>
        <w:spacing w:before="58" w:line="306" w:lineRule="auto"/>
        <w:ind w:right="52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Revocation: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this Trust may be revoked in whole or in part by a written instrument signed by both Grantors and delivered to the Trustee. Upon the death of the first Grantor to die, this Trust shall become irrevocable as to that Grantor's property, but shall remain revocable and amendable by the surviving Grantor as to the surviving Grantor's property.</w:t>
      </w:r>
    </w:p>
    <w:p>
      <w:pPr>
        <w:pStyle w:val="Body"/>
        <w:numPr>
          <w:ilvl w:val="0"/>
          <w:numId w:val="8"/>
        </w:numPr>
        <w:bidi w:val="0"/>
        <w:spacing w:before="56" w:line="306" w:lineRule="auto"/>
        <w:ind w:right="7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Amendment: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this Trust may be amended in whole or in part by a written instrument signed by both Grantors and delivered to the Trustee. After the death of the first Grantor, the surviving Grantor may amend the Trust only with respect to the surviving Grantor's separate property and the Survivor's Trust established under this instrument.</w:t>
      </w:r>
    </w:p>
    <w:p>
      <w:pPr>
        <w:pStyle w:val="Body"/>
        <w:numPr>
          <w:ilvl w:val="0"/>
          <w:numId w:val="10"/>
        </w:numPr>
        <w:bidi w:val="0"/>
        <w:spacing w:before="55" w:line="304" w:lineRule="auto"/>
        <w:ind w:right="36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Addition or Removal of Trust Property: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Either of us may add property to our trust or may direct the trustee to do so. Both of us, acting jointly, may remove any property from our trust or direct the trustee to do so. Each of us, acting alone, may remove our own separate property from our trust or direct the trustee to do so.</w:t>
      </w:r>
    </w:p>
    <w:p>
      <w:pPr>
        <w:pStyle w:val="Body"/>
        <w:numPr>
          <w:ilvl w:val="0"/>
          <w:numId w:val="9"/>
        </w:numPr>
        <w:bidi w:val="0"/>
        <w:spacing w:before="62" w:line="306" w:lineRule="auto"/>
        <w:ind w:right="3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Control of Income and Principal Distributions: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pPr>
        <w:pStyle w:val="Body"/>
        <w:numPr>
          <w:ilvl w:val="0"/>
          <w:numId w:val="11"/>
        </w:numPr>
        <w:bidi w:val="0"/>
        <w:spacing w:before="47" w:line="306" w:lineRule="auto"/>
        <w:ind w:right="38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Grantor Trust Status: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is intended to qualify as a "grantor trust" for federal income tax purposes during the lifetime of the Grantors. Accordingly, all items of income, deduction, and credit shall be reportable by the Grantors individually to the extent required under applicable law. The Trust may use either Grantor's Social Security number as its taxpayer identification number during any period in which it is treated as a grantor trust.</w:t>
      </w:r>
    </w:p>
    <w:p>
      <w:pPr>
        <w:pStyle w:val="Body"/>
        <w:spacing w:before="36"/>
        <w:rPr>
          <w:sz w:val="20"/>
          <w:szCs w:val="20"/>
        </w:rPr>
      </w:pPr>
      <w: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7"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22.5pt;margin-top:13.9pt;width:531.0pt;height:1.0pt;z-index:25166131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0"/>
          <w:tab w:val="left" w:pos="962"/>
        </w:tabs>
        <w:spacing w:before="47" w:line="306" w:lineRule="auto"/>
        <w:ind w:right="385"/>
        <w:rPr>
          <w:outline w:val="0"/>
          <w:color w:val="030303"/>
          <w:sz w:val="27"/>
          <w:szCs w:val="27"/>
          <w:u w:color="030303"/>
          <w14:textFill>
            <w14:solidFill>
              <w14:srgbClr w14:val="030303"/>
            </w14:solidFill>
          </w14:textFill>
        </w:rPr>
      </w:pPr>
    </w:p>
    <w:p>
      <w:pPr>
        <w:pStyle w:val="Body"/>
        <w:ind w:left="363" w:firstLine="0"/>
        <w:rPr>
          <w:b w:val="1"/>
          <w:bCs w:val="1"/>
          <w:sz w:val="26"/>
          <w:szCs w:val="26"/>
        </w:rPr>
      </w:pPr>
      <w:r>
        <w:rPr>
          <w:b w:val="1"/>
          <w:bCs w:val="1"/>
          <w:outline w:val="0"/>
          <w:color w:val="030303"/>
          <w:sz w:val="26"/>
          <w:szCs w:val="26"/>
          <w:u w:color="030303"/>
          <w:rtl w:val="0"/>
          <w:lang w:val="de-DE"/>
          <w14:textFill>
            <w14:solidFill>
              <w14:srgbClr w14:val="030303"/>
            </w14:solidFill>
          </w14:textFill>
        </w:rPr>
        <w:t>ARTICLE THREE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Characterization, Ownership, and Interspousal Allocation of Trust Property</w:t>
      </w:r>
    </w:p>
    <w:p>
      <w:pPr>
        <w:pStyle w:val="Body"/>
        <w:numPr>
          <w:ilvl w:val="0"/>
          <w:numId w:val="12"/>
        </w:numPr>
        <w:bidi w:val="0"/>
        <w:spacing w:before="216" w:line="306" w:lineRule="auto"/>
        <w:ind w:right="48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Texas Characterization Preserved: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Property transferred to this Trust shall retain its character as community or separate property under Texas law unless expressly reallocated pursuant to this Article. The Trustee may rely on the designations reflected in Schedule A without duty to inquire further.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designation is later determined to be incorrect, the transfer shall remain valid, and the Trustee shall adjust the characterization to reflect the correct legal status as if properly designated from the outset.</w:t>
      </w:r>
    </w:p>
    <w:p>
      <w:pPr>
        <w:pStyle w:val="Body"/>
        <w:numPr>
          <w:ilvl w:val="0"/>
          <w:numId w:val="13"/>
        </w:numPr>
        <w:bidi w:val="0"/>
        <w:spacing w:before="52" w:line="306" w:lineRule="auto"/>
        <w:ind w:right="4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Election of Ownership Allocation Method: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have elected one of the following two methods for determining each Grantor's distributable Islamic estate. The elected method governs the application of Article Twelve. Only one method shall apply.</w:t>
      </w:r>
    </w:p>
    <w:p>
      <w:pPr>
        <w:pStyle w:val="Body"/>
        <w:numPr>
          <w:ilvl w:val="0"/>
          <w:numId w:val="14"/>
        </w:numPr>
        <w:bidi w:val="0"/>
        <w:spacing w:before="237" w:line="306" w:lineRule="auto"/>
        <w:ind w:right="455"/>
        <w:jc w:val="left"/>
        <w:rPr>
          <w:outline w:val="0"/>
          <w:color w:val="030303"/>
          <w:sz w:val="22"/>
          <w:szCs w:val="22"/>
          <w:rtl w:val="0"/>
          <w:lang w:val="nl-NL"/>
          <w14:textFill>
            <w14:solidFill>
              <w14:srgbClr w14:val="030303"/>
            </w14:solidFill>
          </w14:textFill>
        </w:rPr>
      </w:pPr>
      <w:r>
        <w:rPr>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{#isHeba}</w:t>
      </w:r>
    </w:p>
    <w:p>
      <w:pPr>
        <w:pStyle w:val="Body"/>
        <w:numPr>
          <w:ilvl w:val="0"/>
          <w:numId w:val="15"/>
        </w:numPr>
        <w:bidi w:val="0"/>
        <w:spacing w:before="237" w:line="306" w:lineRule="auto"/>
        <w:ind w:right="455"/>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Mutual Heba - Ownership Allocation: </w:t>
      </w:r>
      <w:r>
        <w:rPr>
          <w:outline w:val="0"/>
          <w:color w:val="030303"/>
          <w:sz w:val="27"/>
          <w:szCs w:val="27"/>
          <w:u w:color="030303"/>
          <w:rtl w:val="0"/>
          <w:lang w:val="en-US"/>
          <w14:textFill>
            <w14:solidFill>
              <w14:srgbClr w14:val="030303"/>
            </w14:solidFill>
          </w14:textFill>
        </w:rPr>
        <w:t xml:space="preserve">The Grantors hereby make a mutual, simultaneous, and irrevocable lifetime gift (heba) of one-half of each Grantor's interest in all community property to the other Grantor. This gift is unconditional, takes effect immediately upon execution of this Trust, and shall not be revoked or modified by either Grantor for any reason, including divorce or dissolution of marriage. The effect of this </w:t>
      </w:r>
      <w:r>
        <w:rPr>
          <w:rFonts w:ascii="Arial" w:hAnsi="Arial"/>
          <w:i w:val="1"/>
          <w:iCs w:val="1"/>
          <w:outline w:val="0"/>
          <w:color w:val="030303"/>
          <w:sz w:val="24"/>
          <w:szCs w:val="24"/>
          <w:u w:color="030303"/>
          <w:rtl w:val="0"/>
          <w:lang w:val="nl-NL"/>
          <w14:textFill>
            <w14:solidFill>
              <w14:srgbClr w14:val="030303"/>
            </w14:solidFill>
          </w14:textFill>
        </w:rPr>
        <w:t xml:space="preserve">heba </w:t>
      </w:r>
      <w:r>
        <w:rPr>
          <w:outline w:val="0"/>
          <w:color w:val="030303"/>
          <w:sz w:val="27"/>
          <w:szCs w:val="27"/>
          <w:u w:color="030303"/>
          <w:rtl w:val="0"/>
          <w:lang w:val="en-US"/>
          <w14:textFill>
            <w14:solidFill>
              <w14:srgbClr w14:val="030303"/>
            </w14:solidFill>
          </w14:textFill>
        </w:rPr>
        <w:t>is that each Grantor shall be deemed to own fifty percent (50%) of all community property for purposes of determining that Grantor's distributable Islamic estate under Article Twelve</w:t>
      </w:r>
      <w:r>
        <w:rPr>
          <w:outline w:val="0"/>
          <w:color w:val="383838"/>
          <w:sz w:val="27"/>
          <w:szCs w:val="27"/>
          <w:u w:color="383838"/>
          <w:rtl w:val="0"/>
          <w14:textFill>
            <w14:solidFill>
              <w14:srgbClr w14:val="383838"/>
            </w14:solidFill>
          </w14:textFill>
        </w:rPr>
        <w:t xml:space="preserve">. </w:t>
      </w:r>
      <w:r>
        <w:rPr>
          <w:outline w:val="0"/>
          <w:color w:val="030303"/>
          <w:sz w:val="27"/>
          <w:szCs w:val="27"/>
          <w:u w:color="030303"/>
          <w:rtl w:val="0"/>
          <w:lang w:val="en-US"/>
          <w14:textFill>
            <w14:solidFill>
              <w14:srgbClr w14:val="030303"/>
            </w14:solidFill>
          </w14:textFill>
        </w:rPr>
        <w:t>The Islamic Law of inheritance fractions described in Article Twelve shall be applied to each Grantor's fifty percent (50%) share. The Grantors acknowledge and accept that:</w:t>
      </w:r>
    </w:p>
    <w:p>
      <w:pPr>
        <w:pStyle w:val="Body"/>
        <w:numPr>
          <w:ilvl w:val="1"/>
          <w:numId w:val="15"/>
        </w:numPr>
        <w:bidi w:val="0"/>
        <w:spacing w:before="58" w:line="300" w:lineRule="auto"/>
        <w:ind w:right="517"/>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gift has immediate Islamic legal effect and is binding under Islamic law from the date of execution;</w:t>
      </w:r>
    </w:p>
    <w:p>
      <w:pPr>
        <w:pStyle w:val="Body"/>
        <w:numPr>
          <w:ilvl w:val="1"/>
          <w:numId w:val="16"/>
        </w:numPr>
        <w:bidi w:val="0"/>
        <w:spacing w:before="80" w:line="300" w:lineRule="auto"/>
        <w:ind w:right="55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gift is irrevocable under Islamic law and may not be reclaimed by either Grantor under any circumstances, including divorce; and</w:t>
      </w:r>
    </w:p>
    <w:p>
      <w:pPr>
        <w:pStyle w:val="Body"/>
        <w:numPr>
          <w:ilvl w:val="1"/>
          <w:numId w:val="17"/>
        </w:numPr>
        <w:bidi w:val="0"/>
        <w:spacing w:before="79" w:line="300" w:lineRule="auto"/>
        <w:ind w:right="108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provision does not alter the character of either Grantor's separate property, which shall remain separate property.</w:t>
      </w:r>
    </w:p>
    <w:p>
      <w:pPr>
        <w:pStyle w:val="Body"/>
        <w:spacing w:before="79" w:line="302" w:lineRule="auto"/>
        <w:ind w:left="962" w:right="362" w:hanging="4"/>
        <w:rPr>
          <w:b w:val="1"/>
          <w:bCs w:val="1"/>
          <w:outline w:val="0"/>
          <w:color w:val="030303"/>
          <w:sz w:val="26"/>
          <w:szCs w:val="26"/>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The Trustee is authorized to rely conclusively on this provision in determining each Grantor's distributable estate and shall have no duty to investigate the historical source of community property contributions.</w:t>
      </w:r>
    </w:p>
    <w:p>
      <w:pPr>
        <w:pStyle w:val="Body"/>
      </w:pPr>
      <w:r>
        <w:rPr>
          <w:rtl w:val="0"/>
          <w:lang w:val="nl-NL"/>
        </w:rPr>
        <w:t>{/isHeba}</w:t>
      </w:r>
    </w:p>
    <w:p>
      <w:pPr>
        <w:pStyle w:val="Body"/>
      </w:pPr>
      <w:r>
        <w:rPr>
          <w:rtl w:val="0"/>
          <w:lang w:val="it-IT"/>
        </w:rPr>
        <w:t>{#isAssetAllocation}</w:t>
      </w:r>
    </w:p>
    <w:p>
      <w:pPr>
        <w:pStyle w:val="Body"/>
        <w:numPr>
          <w:ilvl w:val="0"/>
          <w:numId w:val="18"/>
        </w:numPr>
        <w:bidi w:val="0"/>
        <w:spacing w:before="81"/>
        <w:ind w:right="0"/>
        <w:jc w:val="left"/>
        <w:rPr>
          <w:outline w:val="0"/>
          <w:color w:val="030303"/>
          <w:sz w:val="26"/>
          <w:szCs w:val="26"/>
          <w:rtl w:val="0"/>
          <w:lang w:val="it-IT"/>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Asset Allocation</w:t>
      </w:r>
    </w:p>
    <w:p>
      <w:pPr>
        <w:pStyle w:val="Body"/>
        <w:spacing w:before="80" w:line="306" w:lineRule="auto"/>
        <w:ind w:left="959" w:right="362" w:firstLine="2"/>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Declaration - Ownership Allocation: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elect to declare the Islamic ownership of specific community and separate property assets as set forth in the Asset Allocation Schedule contained in Schedule A</w:t>
      </w:r>
      <w:r>
        <w:rPr>
          <w:caps w:val="0"/>
          <w:smallCaps w:val="0"/>
          <w:strike w:val="0"/>
          <w:dstrike w:val="0"/>
          <w:outline w:val="0"/>
          <w:color w:val="383838"/>
          <w:sz w:val="27"/>
          <w:szCs w:val="27"/>
          <w:u w:val="none" w:color="383838"/>
          <w:shd w:val="nil" w:color="auto" w:fill="auto"/>
          <w:vertAlign w:val="baseline"/>
          <w:rtl w:val="0"/>
          <w14:textFill>
            <w14:solidFill>
              <w14:srgbClr w14:val="383838"/>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This declaration reflects each Grantor's assertion of true Islamic ownership of the listed assets and does not constitute a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nl-NL"/>
          <w14:textFill>
            <w14:solidFill>
              <w14:srgbClr w14:val="030303"/>
            </w14:solidFill>
          </w14:textFill>
        </w:rPr>
        <w:t xml:space="preserve">heba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or any present transfer of property. The Trustee shall administer and distribute each Grantor's listed assets in accordance with Article Twelve upon that Grantor's death. For any community property asset not listed in Schedule A, the Trustee shall apply a default allocation of fifty percent (50%) to each Grantor for purposes of </w:t>
      </w:r>
      <w:r>
        <w:rPr>
          <w:outline w:val="0"/>
          <w:color w:val="030303"/>
          <w:sz w:val="27"/>
          <w:szCs w:val="27"/>
          <w:u w:color="030303"/>
          <w:rtl w:val="0"/>
          <w:lang w:val="it-IT"/>
          <w14:textFill>
            <w14:solidFill>
              <w14:srgbClr w14:val="030303"/>
            </w14:solidFill>
          </w14:textFill>
        </w:rPr>
        <w:t>Islamic</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distribution. The Grantors acknowledge that this default is a practical administrative measure and does not constitute a religious determination of ownership. The Grantors further acknowledge that this Asset Allocation Declaration does not have present Islamic legal effect as a transfer of ownership, and that</w:t>
      </w:r>
      <w:r>
        <w:rPr>
          <w:sz w:val="27"/>
          <w:szCs w:val="27"/>
          <w:rtl w:val="0"/>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may wish to consult a qualified Islamic scholar regarding the sufficiency of this method for their individual circumstances. This provision does not alter the character of either Grantor's separate property, which shall remain separate property.</w:t>
      </w:r>
    </w:p>
    <w:p>
      <w:pPr>
        <w:pStyle w:val="Body"/>
        <w:numPr>
          <w:ilvl w:val="0"/>
          <w:numId w:val="19"/>
        </w:numPr>
        <w:bidi w:val="0"/>
        <w:spacing w:before="53" w:line="306" w:lineRule="auto"/>
        <w:ind w:right="49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Allocation of Community Property for Islamic Planning Purposes: </w:t>
      </w:r>
      <w:r>
        <w:rPr>
          <w:outline w:val="0"/>
          <w:color w:val="030303"/>
          <w:sz w:val="27"/>
          <w:szCs w:val="27"/>
          <w:u w:color="030303"/>
          <w:rtl w:val="0"/>
          <w:lang w:val="en-US"/>
          <w14:textFill>
            <w14:solidFill>
              <w14:srgbClr w14:val="030303"/>
            </w14:solidFill>
          </w14:textFill>
        </w:rPr>
        <w:t xml:space="preserve">To the extent the elected method under Section C results in an allocation of community property other than 50/50, each Grantor hereby makes a present transfer to the other of such portion of community property as required to reflect the elected allocation. </w:t>
      </w:r>
    </w:p>
    <w:p>
      <w:pPr>
        <w:pStyle w:val="Body"/>
        <w:numPr>
          <w:ilvl w:val="0"/>
          <w:numId w:val="20"/>
        </w:numPr>
        <w:bidi w:val="0"/>
        <w:spacing w:before="61" w:line="306" w:lineRule="auto"/>
        <w:ind w:right="47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Reliance and Correction Authority: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Trustee may rely conclusively on the allocation method and designations stated in Schedule A and shall have no duty to investigate historical property character.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court of competent jurisdiction determines that any reallocation was ineffective under Texas law, the Trustee shall adjust distributions to reflect the true legal ownership while preserving, to the extent reasonably possible, the Islamic inheritance objectives of this Trust.</w:t>
      </w:r>
    </w:p>
    <w:p>
      <w:pPr>
        <w:pStyle w:val="Body"/>
        <w:numPr>
          <w:ilvl w:val="0"/>
          <w:numId w:val="21"/>
        </w:numPr>
        <w:bidi w:val="0"/>
        <w:spacing w:before="52" w:line="306" w:lineRule="auto"/>
        <w:ind w:right="5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Optional Allocation of Primary Residence at First Death: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Upon the death of the first Grantor to die, the Trustee may allocate the Trust's interest in the primary residence to the surviving Grantor or to the Survivor's Trust.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such allocation is made, the Trustee shall ensure that the deceased Grantor's Islamic heirs receive assets of equivalent net value to their required distributive shares under the Islamic Law of lnheritance. The Trustee may satisfy such equalization using other trust assets, undivided interests in property, promissory notes on commercially reasonable terms, or any combination thereof. The Trustee shall not be required to sell the primary residence in order to satisfy Islamic inheritance shares.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primary residence is owned entirely as the surviving Grantor's separate property at the time of death, this Section shall not apply. The value of the residence shall be determined as of the date of death unless the Trustee selects another reasonable valuation method consistent with applicable law.</w:t>
      </w:r>
    </w:p>
    <w:p>
      <w:pPr>
        <w:pStyle w:val="Body"/>
      </w:pPr>
      <w:r>
        <w:rPr>
          <w:rtl w:val="0"/>
          <w:lang w:val="it-IT"/>
        </w:rPr>
        <w:t>{/isAssetAllocation}</w:t>
      </w:r>
    </w:p>
    <w:p>
      <w:pPr>
        <w:pStyle w:val="Body"/>
        <w:spacing w:before="36"/>
        <w:rPr>
          <w:sz w:val="20"/>
          <w:szCs w:val="20"/>
        </w:rPr>
      </w:pPr>
      <w:r>
        <mc:AlternateContent>
          <mc:Choice Requires="wps">
            <w:drawing xmlns:a="http://schemas.openxmlformats.org/drawingml/2006/main">
              <wp:anchor distT="0" distB="0" distL="0" distR="0" simplePos="0" relativeHeight="251662336"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8"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9" style="visibility:visible;position:absolute;margin-left:22.5pt;margin-top:13.9pt;width:531.0pt;height:1.0pt;z-index:25166233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rPr>
          <w:outline w:val="0"/>
          <w:color w:val="030303"/>
          <w:sz w:val="27"/>
          <w:szCs w:val="27"/>
          <w:u w:color="030303"/>
          <w14:textFill>
            <w14:solidFill>
              <w14:srgbClr w14:val="030303"/>
            </w14:solidFill>
          </w14:textFill>
        </w:rPr>
      </w:pPr>
    </w:p>
    <w:p>
      <w:pPr>
        <w:pStyle w:val="Body"/>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FOUR</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Tangible Personal Property - Ownership Attribution and Administration</w:t>
      </w:r>
    </w:p>
    <w:p>
      <w:pPr>
        <w:pStyle w:val="Body"/>
        <w:numPr>
          <w:ilvl w:val="0"/>
          <w:numId w:val="22"/>
        </w:numPr>
        <w:bidi w:val="0"/>
        <w:spacing w:before="215" w:line="304" w:lineRule="auto"/>
        <w:ind w:right="55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Purpose: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recognize that ordinary household property is often acquired for shared domestic use and that strict individual ownership of such items is neither customary nor practically determinable. Accordingly, this Article establishes a framework for attributing ownership of tangible personal property consistent with Islamic principles</w:t>
      </w:r>
    </w:p>
    <w:p>
      <w:pPr>
        <w:pStyle w:val="Body"/>
        <w:spacing w:before="77" w:line="300" w:lineRule="auto"/>
        <w:ind w:left="961" w:right="1153"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of ownership and the role of common custom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fr-FR"/>
          <w14:textFill>
            <w14:solidFill>
              <w14:srgbClr w14:val="030303"/>
            </w14:solidFill>
          </w14:textFill>
        </w:rPr>
        <w:t xml:space="preserve">'urf)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in resolving ambiguity, as well as encouraging amicable settlement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among heirs where needed.</w:t>
      </w:r>
    </w:p>
    <w:p>
      <w:pPr>
        <w:pStyle w:val="Body"/>
        <w:numPr>
          <w:ilvl w:val="0"/>
          <w:numId w:val="23"/>
        </w:numPr>
        <w:bidi w:val="0"/>
        <w:spacing w:before="75" w:line="304" w:lineRule="auto"/>
        <w:ind w:right="490"/>
        <w:jc w:val="left"/>
        <w:rPr>
          <w:outline w:val="0"/>
          <w:color w:val="030303"/>
          <w:sz w:val="28"/>
          <w:szCs w:val="28"/>
          <w:rtl w:val="0"/>
          <w:lang w:val="de-DE"/>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de-DE"/>
          <w14:textFill>
            <w14:solidFill>
              <w14:srgbClr w14:val="030303"/>
            </w14:solidFill>
          </w14:textFill>
        </w:rPr>
        <w:t xml:space="preserve">Tier One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Clearly Personal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that are clearly personal in nature and uniquely associated with one Grantor shall be attributed to that Grantor as that Grantor's sole property. Such items include, without limitation: clothing, personal jewelry, personal care items, and items that by their nature are exclusively used by one spouse. The Trustee shall attribute such items to the appropriate Grantor based on the nature and ordinary use of the item without further inquiry.</w:t>
      </w:r>
    </w:p>
    <w:p>
      <w:pPr>
        <w:pStyle w:val="Body"/>
        <w:numPr>
          <w:ilvl w:val="0"/>
          <w:numId w:val="24"/>
        </w:numPr>
        <w:bidi w:val="0"/>
        <w:spacing w:before="51" w:line="306" w:lineRule="auto"/>
        <w:ind w:right="370"/>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Tier Two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Shared Household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acquired for shared domestic use and not uniquely associated with either Grantor shall be presumed to be owned equally (50/50) by both Grantors. This presumption is based on common custom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fr-FR"/>
          <w14:textFill>
            <w14:solidFill>
              <w14:srgbClr w14:val="030303"/>
            </w14:solidFill>
          </w14:textFill>
        </w:rPr>
        <w:t xml:space="preserve">'urf)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applicable to the shared domestic context and does not require a formal transfer or gift between the Grantors. Such items include, without limitation: sofas, dining tables, beds, mattresses, rugs, dishes, cookware, general appliances, and similar furnishings and household effects. This presumption may be rebutted only by clear evidence of sole ownership documented in Schedule A or by written agreement of the Grantors.</w:t>
      </w:r>
    </w:p>
    <w:p>
      <w:pPr>
        <w:pStyle w:val="Body"/>
        <w:numPr>
          <w:ilvl w:val="0"/>
          <w:numId w:val="25"/>
        </w:numPr>
        <w:bidi w:val="0"/>
        <w:spacing w:before="50" w:line="304" w:lineRule="auto"/>
        <w:ind w:right="506"/>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Tier Three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Items with a Predominant User: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that have a clearly predominant user but whose ownership is not otherwise documented shall be attributed to the spouse who predominantly uses them. Such items include, without limitation: a spouse's dedicated office furniture, work tools, hobby equipment, and personal workspace electronics. The Trustee shall make this determination in good faith based on observable use patterns and any available documentation</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26"/>
        </w:numPr>
        <w:bidi w:val="0"/>
        <w:spacing w:before="52" w:line="306" w:lineRule="auto"/>
        <w:ind w:right="1088"/>
        <w:jc w:val="both"/>
        <w:rPr>
          <w:outline w:val="0"/>
          <w:color w:val="030303"/>
          <w:sz w:val="28"/>
          <w:szCs w:val="28"/>
          <w:rtl w:val="0"/>
          <w:lang w:val="fr-FR"/>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fr-FR"/>
          <w14:textFill>
            <w14:solidFill>
              <w14:srgbClr w14:val="030303"/>
            </w14:solidFill>
          </w14:textFill>
        </w:rPr>
        <w:t xml:space="preserve">Exclusions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High-Value and Titled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following categories of property are excluded from the attribution framework of this Article and shall instead be listed on Schedule A with designated ownership:</w:t>
      </w:r>
    </w:p>
    <w:p>
      <w:pPr>
        <w:pStyle w:val="Body"/>
        <w:numPr>
          <w:ilvl w:val="1"/>
          <w:numId w:val="26"/>
        </w:numPr>
        <w:bidi w:val="0"/>
        <w:spacing w:before="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Motor vehicles;</w:t>
      </w:r>
    </w:p>
    <w:p>
      <w:pPr>
        <w:pStyle w:val="Body"/>
        <w:numPr>
          <w:ilvl w:val="1"/>
          <w:numId w:val="27"/>
        </w:numPr>
        <w:bidi w:val="0"/>
        <w:spacing w:before="151" w:line="297" w:lineRule="auto"/>
        <w:ind w:right="114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Jewelry and watches with an estimated value exceeding One Thousand Dollars ($1,000);</w:t>
      </w:r>
    </w:p>
    <w:p>
      <w:pPr>
        <w:pStyle w:val="Body"/>
        <w:numPr>
          <w:ilvl w:val="1"/>
          <w:numId w:val="26"/>
        </w:numPr>
        <w:bidi w:val="0"/>
        <w:spacing w:before="7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Works of art;</w:t>
      </w:r>
    </w:p>
    <w:p>
      <w:pPr>
        <w:pStyle w:val="Body"/>
        <w:numPr>
          <w:ilvl w:val="1"/>
          <w:numId w:val="28"/>
        </w:numPr>
        <w:bidi w:val="0"/>
        <w:spacing w:before="1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Collectibles and items of recognized monetary or sentimental value; and</w:t>
      </w:r>
    </w:p>
    <w:p>
      <w:pPr>
        <w:pStyle w:val="Body"/>
        <w:numPr>
          <w:ilvl w:val="1"/>
          <w:numId w:val="29"/>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other item either Grantor wishes to designate individually.</w:t>
      </w:r>
    </w:p>
    <w:p>
      <w:pPr>
        <w:pStyle w:val="Body"/>
        <w:spacing w:before="156" w:line="300" w:lineRule="auto"/>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are encouraged to update Schedule A periodically to reflect acquisitions of significant personal property so that the Trustee is not required to make attribution determinations under uncertainty.</w:t>
      </w:r>
    </w:p>
    <w:p>
      <w:pPr>
        <w:pStyle w:val="Body"/>
        <w:numPr>
          <w:ilvl w:val="0"/>
          <w:numId w:val="23"/>
        </w:numPr>
        <w:bidi w:val="0"/>
        <w:spacing w:before="71" w:line="300" w:lineRule="auto"/>
        <w:ind w:right="601"/>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Trustee Administration Upon Death: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either Grantor, the Trustee shall administer tangible personal property subject to this Article as follows:</w:t>
      </w:r>
    </w:p>
    <w:p>
      <w:pPr>
        <w:pStyle w:val="Body"/>
        <w:numPr>
          <w:ilvl w:val="1"/>
          <w:numId w:val="23"/>
        </w:numPr>
        <w:bidi w:val="0"/>
        <w:spacing w:before="62" w:line="300" w:lineRule="auto"/>
        <w:ind w:right="58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Attribution: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apply the three-tier framework above in good faith to determine the ownership of tangible personal property as of the date of death.</w:t>
      </w:r>
    </w:p>
    <w:p>
      <w:pPr>
        <w:pStyle w:val="Body"/>
        <w:numPr>
          <w:ilvl w:val="1"/>
          <w:numId w:val="30"/>
        </w:numPr>
        <w:bidi w:val="0"/>
        <w:spacing w:before="79" w:line="306" w:lineRule="auto"/>
        <w:ind w:right="439"/>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Written Summary: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prepare a brief written summary of the Trustee's attribution determinations and provide it to all Islamic heirs of the deceased Grantor.</w:t>
      </w:r>
    </w:p>
    <w:p>
      <w:pPr>
        <w:pStyle w:val="Body"/>
        <w:numPr>
          <w:ilvl w:val="1"/>
          <w:numId w:val="31"/>
        </w:numPr>
        <w:bidi w:val="0"/>
        <w:spacing w:before="53" w:line="306" w:lineRule="auto"/>
        <w:ind w:right="629"/>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Encouragement of 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Where attribution is unclear or disputed, the Trustee shall encourage the heirs to reach an amicable settlement </w:t>
      </w:r>
      <w:r>
        <w:rPr>
          <w:rFonts w:ascii="Arial" w:hAnsi="Arial"/>
          <w:i w:val="1"/>
          <w:iCs w:val="1"/>
          <w:caps w:val="0"/>
          <w:smallCaps w:val="0"/>
          <w:strike w:val="0"/>
          <w:dstrike w:val="0"/>
          <w:outline w:val="0"/>
          <w:color w:val="030303"/>
          <w:sz w:val="23"/>
          <w:szCs w:val="23"/>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among themselves. The Trustee may facilitate but is not required to arbitrate such discussions.</w:t>
      </w:r>
    </w:p>
    <w:p>
      <w:pPr>
        <w:pStyle w:val="Body"/>
        <w:numPr>
          <w:ilvl w:val="1"/>
          <w:numId w:val="32"/>
        </w:numPr>
        <w:bidi w:val="0"/>
        <w:spacing w:before="52" w:line="306" w:lineRule="auto"/>
        <w:ind w:right="46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Formal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Only if heirs cannot reach </w:t>
      </w:r>
      <w:r>
        <w:rPr>
          <w:rFonts w:ascii="Arial" w:hAnsi="Arial"/>
          <w:i w:val="1"/>
          <w:iCs w:val="1"/>
          <w:caps w:val="0"/>
          <w:smallCaps w:val="0"/>
          <w:strike w:val="0"/>
          <w:dstrike w:val="0"/>
          <w:outline w:val="0"/>
          <w:color w:val="030303"/>
          <w:sz w:val="23"/>
          <w:szCs w:val="23"/>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and the amounts in dispute are material shall the Trustee proceed to formal valuation and distribution. In such cases, the Trustee shall value the disputed items in good faith, calculate each heir's fractional share, and satisfy that share first from other distributable trust assets</w:t>
      </w:r>
      <w:r>
        <w:rPr>
          <w:caps w:val="0"/>
          <w:smallCaps w:val="0"/>
          <w:strike w:val="0"/>
          <w:dstrike w:val="0"/>
          <w:outline w:val="0"/>
          <w:color w:val="2f2f2f"/>
          <w:sz w:val="27"/>
          <w:szCs w:val="27"/>
          <w:u w:val="none" w:color="2f2f2f"/>
          <w:shd w:val="nil" w:color="auto" w:fill="auto"/>
          <w:vertAlign w:val="baseline"/>
          <w:rtl w:val="0"/>
          <w14:textFill>
            <w14:solidFill>
              <w14:srgbClr w14:val="2F2F2F"/>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Sale of tangible personal property shall be a last resort.</w:t>
      </w:r>
    </w:p>
    <w:p>
      <w:pPr>
        <w:pStyle w:val="Body"/>
        <w:numPr>
          <w:ilvl w:val="0"/>
          <w:numId w:val="12"/>
        </w:numPr>
        <w:bidi w:val="0"/>
        <w:spacing w:before="118" w:line="309" w:lineRule="auto"/>
        <w:ind w:right="64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Trustee's good-faith attribution and administration of tangible personal property under this Article shall be conclusive absent manifest error or abuse of discretion. No Trustee shall be liable for attribution determinations made in good faith in accordance with this framework.</w:t>
      </w:r>
    </w:p>
    <w:p>
      <w:pPr>
        <w:pStyle w:val="Body"/>
        <w:tabs>
          <w:tab w:val="left" w:pos="957"/>
          <w:tab w:val="left" w:pos="962"/>
        </w:tabs>
        <w:spacing w:before="118" w:line="309" w:lineRule="auto"/>
        <w:ind w:left="958" w:right="649" w:firstLine="0"/>
        <w:rPr>
          <w:outline w:val="0"/>
          <w:color w:val="030303"/>
          <w:sz w:val="27"/>
          <w:szCs w:val="27"/>
          <w:u w:color="030303"/>
          <w14:textFill>
            <w14:solidFill>
              <w14:srgbClr w14:val="030303"/>
            </w14:solidFill>
          </w14:textFill>
        </w:rPr>
      </w:pPr>
      <w:r>
        <w:rPr>
          <w:outline w:val="0"/>
          <w:color w:val="030303"/>
          <w:sz w:val="27"/>
          <w:szCs w:val="27"/>
          <w:u w:color="030303"/>
          <w14:textFill>
            <w14:solidFill>
              <w14:srgbClr w14:val="030303"/>
            </w14:solidFill>
          </w14:textFill>
        </w:rPr>
        <w:tab/>
        <w:tab/>
      </w:r>
    </w:p>
    <w:p>
      <w:pPr>
        <w:pStyle w:val="Body"/>
        <w:tabs>
          <w:tab w:val="left" w:pos="957"/>
          <w:tab w:val="left" w:pos="962"/>
        </w:tabs>
        <w:spacing w:before="118" w:line="309" w:lineRule="auto"/>
        <w:ind w:right="649" w:firstLine="720"/>
        <w:rPr>
          <w:outline w:val="0"/>
          <w:color w:val="030303"/>
          <w:sz w:val="27"/>
          <w:szCs w:val="27"/>
          <w:u w:color="030303"/>
          <w14:textFill>
            <w14:solidFill>
              <w14:srgbClr w14:val="030303"/>
            </w14:solidFill>
          </w14:textFill>
        </w:rPr>
      </w:pPr>
      <w:r>
        <w:rPr>
          <w:outline w:val="0"/>
          <w:color w:val="030303"/>
          <w:sz w:val="27"/>
          <w:szCs w:val="27"/>
          <w:u w:color="030303"/>
          <w14:textFill>
            <w14:solidFill>
              <w14:srgbClr w14:val="030303"/>
            </w14:solidFill>
          </w14:textFill>
        </w:rPr>
        <mc:AlternateContent>
          <mc:Choice Requires="wps">
            <w:drawing xmlns:a="http://schemas.openxmlformats.org/drawingml/2006/main">
              <wp:anchor distT="0" distB="0" distL="0" distR="0" simplePos="0" relativeHeight="251663360" behindDoc="0" locked="0" layoutInCell="1" allowOverlap="1">
                <wp:simplePos x="0" y="0"/>
                <wp:positionH relativeFrom="column">
                  <wp:posOffset>0</wp:posOffset>
                </wp:positionH>
                <wp:positionV relativeFrom="line">
                  <wp:posOffset>58356</wp:posOffset>
                </wp:positionV>
                <wp:extent cx="6743700" cy="12700"/>
                <wp:effectExtent l="0" t="0" r="0" b="0"/>
                <wp:wrapTopAndBottom distT="0" distB="0"/>
                <wp:docPr id="1073741829"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0" style="visibility:visible;position:absolute;margin-left:0.0pt;margin-top:4.6pt;width:531.0pt;height:1.0pt;z-index:251663360;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r>
        <w:rPr>
          <w:outline w:val="0"/>
          <w:color w:val="030303"/>
          <w:sz w:val="27"/>
          <w:szCs w:val="27"/>
          <w:u w:color="030303"/>
          <w14:textFill>
            <w14:solidFill>
              <w14:srgbClr w14:val="030303"/>
            </w14:solidFill>
          </w14:textFill>
        </w:rPr>
        <w:tab/>
      </w:r>
      <w:r>
        <w:tab/>
      </w:r>
    </w:p>
    <w:p>
      <w:pPr>
        <w:pStyle w:val="heading 6"/>
        <w:spacing w:before="1"/>
        <w:ind w:firstLine="363"/>
      </w:pPr>
      <w:r>
        <w:rPr>
          <w:outline w:val="0"/>
          <w:color w:val="030303"/>
          <w:u w:color="030303"/>
          <w:rtl w:val="0"/>
          <w:lang w:val="en-US"/>
          <w14:textFill>
            <w14:solidFill>
              <w14:srgbClr w14:val="030303"/>
            </w14:solidFill>
          </w14:textFill>
        </w:rPr>
        <w:t>ARTICLE FIVE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Intent to Comply with Islamic Financial Ethics and the Islamic Laws of Inheritance</w:t>
      </w:r>
    </w:p>
    <w:p>
      <w:pPr>
        <w:pStyle w:val="Body"/>
        <w:numPr>
          <w:ilvl w:val="0"/>
          <w:numId w:val="9"/>
        </w:numPr>
        <w:bidi w:val="0"/>
        <w:spacing w:before="215" w:line="306" w:lineRule="auto"/>
        <w:ind w:right="41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Intent to Comply with Islamic Inheritance: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 is our express intent in creating this trust agreement and any trusts created therefrom that the assets transferred to it are held for our benefit while we are alive and are distributed upon our death in compliance with the Islamic Law of</w:t>
      </w:r>
      <w:r>
        <w:rPr>
          <w:outline w:val="0"/>
          <w:color w:val="030303"/>
          <w:sz w:val="27"/>
          <w:szCs w:val="27"/>
          <w:u w:color="030303"/>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lnheritance as that is defined in Schedule </w:t>
      </w:r>
      <w:r>
        <w:rPr>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B.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understand, acknowledge, and accept that our decision to do so may result in:</w:t>
      </w:r>
    </w:p>
    <w:p>
      <w:pPr>
        <w:pStyle w:val="Body"/>
        <w:numPr>
          <w:ilvl w:val="1"/>
          <w:numId w:val="9"/>
        </w:numPr>
        <w:bidi w:val="0"/>
        <w:spacing w:before="56" w:line="312" w:lineRule="auto"/>
        <w:ind w:right="1294"/>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Federal and/or state taxes that might otherwise be avoided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 for the above compliance;</w:t>
      </w:r>
    </w:p>
    <w:p>
      <w:pPr>
        <w:pStyle w:val="Body"/>
        <w:numPr>
          <w:ilvl w:val="1"/>
          <w:numId w:val="33"/>
        </w:numPr>
        <w:bidi w:val="0"/>
        <w:spacing w:before="48"/>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 unequal distribution to our children on the basis of gender;</w:t>
      </w:r>
    </w:p>
    <w:p>
      <w:pPr>
        <w:pStyle w:val="Body"/>
        <w:numPr>
          <w:ilvl w:val="1"/>
          <w:numId w:val="33"/>
        </w:numPr>
        <w:bidi w:val="0"/>
        <w:spacing w:before="156"/>
        <w:ind w:right="0"/>
        <w:jc w:val="both"/>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distribution to relatives who are not our heirs under the laws of Texas; and</w:t>
      </w:r>
    </w:p>
    <w:p>
      <w:pPr>
        <w:pStyle w:val="Body"/>
        <w:numPr>
          <w:ilvl w:val="1"/>
          <w:numId w:val="34"/>
        </w:numPr>
        <w:bidi w:val="0"/>
        <w:spacing w:before="141" w:line="306" w:lineRule="auto"/>
        <w:ind w:right="768"/>
        <w:jc w:val="both"/>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liquidation and distribution of property that might benefit a surviving Grantor and result in his or her receipt of a smaller share than he or she might otherwise be entitled to under community property law.</w:t>
      </w:r>
    </w:p>
    <w:p>
      <w:pPr>
        <w:pStyle w:val="Body"/>
        <w:numPr>
          <w:ilvl w:val="0"/>
          <w:numId w:val="11"/>
        </w:numPr>
        <w:bidi w:val="0"/>
        <w:spacing w:before="115" w:line="312" w:lineRule="auto"/>
        <w:ind w:right="788"/>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Intent to Comply with Islamic Financial Ethics: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have empowered our Trustee with discretion to manage, distribute, and invest the assets in our trust, but we instruct our</w:t>
      </w:r>
    </w:p>
    <w:p>
      <w:pPr>
        <w:pStyle w:val="Body"/>
        <w:spacing w:before="77" w:line="306" w:lineRule="auto"/>
        <w:ind w:left="941" w:right="389" w:firstLine="1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Trustees to invest our assets in a manner that is compliant with the ethics, guidance, and boundaries of lslamic Law as that is defined below. Islamic law prohibits the acquisition of wealth in ways that contravene the religion's principles of lawfulness, mutual consent, and goodwill. From this principle these investment criteria follow: (1) Investments cannot be made into forbidden assets or illicit activity, including alcohol, pork, gambling, and pornography. In the instance that a company conducts a permissible sale or activity as its primary source of income, but has accessory businesses or business units that conduct impermissible activities, such activities must only constitute a trivial amount of the company's revenue. (2) Reasonable efforts must be made to avoid investment into companies that have more than thirty-three percent of their value (determined as market capitalization, which is the total market value of the company's outstanding shares) in interest-bearing debt. One may consider the level of social good the company is achieving when deciding whether the level of interest-bearing debt is tolerable, or they may choose not to make such a consideration. (3) Islamic Law prohibits transactions involving Riba (commonly translated as "interest" or "usury" in English), which is a charge for the use of another's money. The preceding investment principle is a direct and specific illustration of how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es-ES_tradnl"/>
          <w14:textFill>
            <w14:solidFill>
              <w14:srgbClr w14:val="030303"/>
            </w14:solidFill>
          </w14:textFill>
        </w:rPr>
        <w:t xml:space="preserve">Riba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must be avoided, but all reasonable efforts should be made to avoid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es-ES_tradnl"/>
          <w14:textFill>
            <w14:solidFill>
              <w14:srgbClr w14:val="030303"/>
            </w14:solidFill>
          </w14:textFill>
        </w:rPr>
        <w:t xml:space="preserve">Riba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in other circumstances that should arise. (4) Islamic Law prohibits transactions involving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which means "uncertainty" and is associated with deception involving uncertainty and risk. While all transactions involve some amount of risk, such minor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 xml:space="preserve">is permissible. Impermissible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is present when there is (i) uncertain existence, quality, or characteristics of a commodity or </w:t>
      </w:r>
      <w:r>
        <w:rPr>
          <w:caps w:val="0"/>
          <w:smallCaps w:val="0"/>
          <w:strike w:val="0"/>
          <w:dstrike w:val="0"/>
          <w:outline w:val="0"/>
          <w:color w:val="030303"/>
          <w:sz w:val="25"/>
          <w:szCs w:val="25"/>
          <w:u w:val="none" w:color="030303"/>
          <w:shd w:val="nil" w:color="auto" w:fill="auto"/>
          <w:vertAlign w:val="baseline"/>
          <w:rtl w:val="0"/>
          <w14:textFill>
            <w14:solidFill>
              <w14:srgbClr w14:val="030303"/>
            </w14:solidFill>
          </w14:textFill>
        </w:rPr>
        <w:t xml:space="preserve">(ii)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pure speculation where an outcome depends on excessive uncertainty and this risk is not shared. Notable financial instruments that involve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include derivative transactions such as forwards, futures, options, and forms of speculation such as short selling.</w:t>
      </w:r>
    </w:p>
    <w:p>
      <w:pPr>
        <w:pStyle w:val="Body"/>
        <w:numPr>
          <w:ilvl w:val="0"/>
          <w:numId w:val="35"/>
        </w:numPr>
        <w:bidi w:val="0"/>
        <w:spacing w:before="42" w:line="306" w:lineRule="auto"/>
        <w:ind w:right="42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Power to Review and Direct Investments: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the Grantors reserve the right to review and direct the Trustee with respect to investment decisions concerning community property. Each Grantor also reserves the right to review and direct the Trustee with respect to that Grantor's separate property. The Trustee shall not be required to seek prior approval from the Grantors before making investment decisions, but shall comply with any written investment direction delivered by the applicable Grantor. All investment decisions shall remain subject to the Islamic Financial Ethics described above. Any investment direction provided by a Grantor shall relieve the Trustee of liability for complying with such direction, except in cases of willful misconduct.</w:t>
      </w:r>
    </w:p>
    <w:p>
      <w:pPr>
        <w:pStyle w:val="Body"/>
        <w:tabs>
          <w:tab w:val="left" w:pos="958"/>
          <w:tab w:val="left" w:pos="960"/>
        </w:tabs>
        <w:bidi w:val="0"/>
        <w:spacing w:before="42" w:line="306" w:lineRule="auto"/>
        <w:ind w:left="0" w:right="427" w:firstLine="0"/>
        <w:jc w:val="left"/>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mc:AlternateContent>
          <mc:Choice Requires="wps">
            <w:drawing xmlns:a="http://schemas.openxmlformats.org/drawingml/2006/main">
              <wp:anchor distT="0" distB="0" distL="0" distR="0" simplePos="0" relativeHeight="251673600" behindDoc="0" locked="0" layoutInCell="1" allowOverlap="1">
                <wp:simplePos x="0" y="0"/>
                <wp:positionH relativeFrom="margin">
                  <wp:posOffset>-6349</wp:posOffset>
                </wp:positionH>
                <wp:positionV relativeFrom="line">
                  <wp:posOffset>356145</wp:posOffset>
                </wp:positionV>
                <wp:extent cx="6743700" cy="12700"/>
                <wp:effectExtent l="0" t="0" r="0" b="0"/>
                <wp:wrapTopAndBottom distT="0" distB="0"/>
                <wp:docPr id="1073741830"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1" style="visibility:visible;position:absolute;margin-left:-0.5pt;margin-top:28.0pt;width:531.0pt;height:1.0pt;z-index:251673600;mso-position-horizontal:absolute;mso-position-horizontal-relative:margin;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p>
    <w:p>
      <w:pPr>
        <w:pStyle w:val="heading 6"/>
        <w:spacing w:before="1"/>
        <w:ind w:firstLine="363"/>
        <w:rPr>
          <w:caps w:val="0"/>
          <w:smallCaps w:val="0"/>
          <w:strike w:val="0"/>
          <w:dstrike w:val="0"/>
          <w:u w:val="none" w:color="030303"/>
          <w:shd w:val="nil" w:color="auto" w:fill="auto"/>
          <w:vertAlign w:val="baseline"/>
        </w:rPr>
      </w:pPr>
    </w:p>
    <w:p>
      <w:pPr>
        <w:pStyle w:val="heading 6"/>
        <w:spacing w:before="1"/>
        <w:ind w:firstLine="363"/>
      </w:pPr>
      <w:r>
        <w:rPr>
          <w:outline w:val="0"/>
          <w:color w:val="030303"/>
          <w:u w:color="030303"/>
          <w:rtl w:val="0"/>
          <w:lang w:val="en-US"/>
          <w14:textFill>
            <w14:solidFill>
              <w14:srgbClr w14:val="030303"/>
            </w14:solidFill>
          </w14:textFill>
        </w:rPr>
        <w:t>ARTICLE SIX</w:t>
      </w:r>
    </w:p>
    <w:p>
      <w:pPr>
        <w:pStyle w:val="Body"/>
        <w:spacing w:before="72"/>
        <w:ind w:left="360" w:firstLine="0"/>
        <w:jc w:val="both"/>
        <w:rPr>
          <w:b w:val="1"/>
          <w:bCs w:val="1"/>
          <w:sz w:val="26"/>
          <w:szCs w:val="26"/>
        </w:rPr>
      </w:pPr>
      <w:r>
        <w:rPr>
          <w:b w:val="1"/>
          <w:bCs w:val="1"/>
          <w:outline w:val="0"/>
          <w:color w:val="030303"/>
          <w:sz w:val="26"/>
          <w:szCs w:val="26"/>
          <w:u w:color="030303"/>
          <w:rtl w:val="0"/>
          <w:lang w:val="en-US"/>
          <w14:textFill>
            <w14:solidFill>
              <w14:srgbClr w14:val="030303"/>
            </w14:solidFill>
          </w14:textFill>
        </w:rPr>
        <w:t>Our Family</w:t>
      </w:r>
    </w:p>
    <w:p>
      <w:pPr>
        <w:pStyle w:val="Body"/>
        <w:spacing w:before="205" w:line="290" w:lineRule="auto"/>
        <w:ind w:left="357" w:firstLine="3"/>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We were married on {dateOfMarriage}. We currently have {childrenCount} children. All references in this document to </w:t>
      </w:r>
      <w:r>
        <w:rPr>
          <w:rFonts w:ascii="Arial" w:hAnsi="Arial"/>
          <w:i w:val="1"/>
          <w:iCs w:val="1"/>
          <w:outline w:val="0"/>
          <w:color w:val="030303"/>
          <w:sz w:val="25"/>
          <w:szCs w:val="25"/>
          <w:u w:color="030303"/>
          <w:rtl w:val="0"/>
          <w:lang w:val="en-US"/>
          <w14:textFill>
            <w14:solidFill>
              <w14:srgbClr w14:val="030303"/>
            </w14:solidFill>
          </w14:textFill>
        </w:rPr>
        <w:t xml:space="preserve">our children </w:t>
      </w:r>
      <w:r>
        <w:rPr>
          <w:outline w:val="0"/>
          <w:color w:val="030303"/>
          <w:sz w:val="26"/>
          <w:szCs w:val="26"/>
          <w:u w:color="030303"/>
          <w:rtl w:val="0"/>
          <w:lang w:val="en-US"/>
          <w14:textFill>
            <w14:solidFill>
              <w14:srgbClr w14:val="030303"/>
            </w14:solidFill>
          </w14:textFill>
        </w:rPr>
        <w:t>are references to these and any other children subsequently born to us. In this trust agreement, we have provided for the following individuals:</w:t>
      </w:r>
    </w:p>
    <w:p>
      <w:pPr>
        <w:pStyle w:val="Body"/>
        <w:spacing w:before="205" w:line="290" w:lineRule="auto"/>
        <w:ind w:left="357" w:firstLine="3"/>
      </w:pPr>
    </w:p>
    <w:p>
      <w:pPr>
        <w:pStyle w:val="heading 5"/>
      </w:pPr>
      <w:r>
        <w:rPr>
          <w:rtl w:val="0"/>
        </w:rPr>
        <w:t>Husband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{#husbandHeirs}{heirName}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{heirRelationship}{/husbandHeirs}</w:t>
            </w:r>
          </w:p>
        </w:tc>
      </w:tr>
    </w:tbl>
    <w:p>
      <w:pPr>
        <w:pStyle w:val="Body"/>
        <w:tabs>
          <w:tab w:val="left" w:pos="5270"/>
        </w:tabs>
        <w:spacing w:before="123"/>
        <w:ind w:left="501" w:hanging="501"/>
      </w:pPr>
    </w:p>
    <w:p>
      <w:pPr>
        <w:pStyle w:val="Body"/>
        <w:spacing w:before="205" w:line="290" w:lineRule="auto"/>
        <w:ind w:left="357" w:firstLine="3"/>
      </w:pPr>
    </w:p>
    <w:p>
      <w:pPr>
        <w:pStyle w:val="heading 5"/>
      </w:pPr>
      <w:r>
        <w:rPr>
          <w:rtl w:val="0"/>
        </w:rPr>
        <w:t>Wife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t>
            </w:r>
            <w:r>
              <w:rPr>
                <w:shd w:val="nil" w:color="auto" w:fill="auto"/>
                <w:rtl w:val="0"/>
                <w:lang w:val="en-US"/>
              </w:rPr>
              <w:t>wifeHeirs</w:t>
            </w:r>
            <w:r>
              <w:rPr>
                <w:shd w:val="nil" w:color="auto" w:fill="auto"/>
                <w:rtl w:val="0"/>
                <w:lang w:val="en-US"/>
              </w:rPr>
              <w:t>}{heirName}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r>
              <w:rPr>
                <w:shd w:val="nil" w:color="auto" w:fill="auto"/>
                <w:rtl w:val="0"/>
                <w:lang w:val="en-US"/>
              </w:rPr>
              <w:t>wifeHeirs</w:t>
            </w:r>
            <w:r>
              <w:rPr>
                <w:shd w:val="nil" w:color="auto" w:fill="auto"/>
                <w:rtl w:val="0"/>
                <w:lang w:val="en-US"/>
              </w:rPr>
              <w:t>}</w:t>
            </w:r>
          </w:p>
        </w:tc>
      </w:tr>
    </w:tbl>
    <w:p>
      <w:pPr>
        <w:pStyle w:val="Body"/>
        <w:tabs>
          <w:tab w:val="left" w:pos="5270"/>
        </w:tabs>
        <w:spacing w:before="123"/>
        <w:ind w:left="501" w:hanging="501"/>
      </w:pPr>
    </w:p>
    <w:p>
      <w:pPr>
        <w:pStyle w:val="heading 5"/>
      </w:pPr>
      <w:r>
        <mc:AlternateContent>
          <mc:Choice Requires="wps">
            <w:drawing xmlns:a="http://schemas.openxmlformats.org/drawingml/2006/main">
              <wp:anchor distT="0" distB="0" distL="0" distR="0" simplePos="0" relativeHeight="251674624" behindDoc="0" locked="0" layoutInCell="1" allowOverlap="1">
                <wp:simplePos x="0" y="0"/>
                <wp:positionH relativeFrom="margin">
                  <wp:posOffset>-6349</wp:posOffset>
                </wp:positionH>
                <wp:positionV relativeFrom="line">
                  <wp:posOffset>384098</wp:posOffset>
                </wp:positionV>
                <wp:extent cx="6743700" cy="12700"/>
                <wp:effectExtent l="0" t="0" r="0" b="0"/>
                <wp:wrapTopAndBottom distT="0" distB="0"/>
                <wp:docPr id="1073741831"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2" style="visibility:visible;position:absolute;margin-left:-0.5pt;margin-top:30.2pt;width:531.0pt;height:1.0pt;z-index:251674624;mso-position-horizontal:absolute;mso-position-horizontal-relative:margin;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p>
    <w:p>
      <w:pPr>
        <w:pStyle w:val="heading 5"/>
        <w:ind w:firstLine="363"/>
      </w:pPr>
    </w:p>
    <w:p>
      <w:pPr>
        <w:pStyle w:val="heading 5"/>
        <w:ind w:firstLine="363"/>
      </w:pPr>
      <w:r>
        <w:rPr>
          <w:outline w:val="0"/>
          <w:color w:val="030303"/>
          <w:u w:color="030303"/>
          <w:rtl w:val="0"/>
          <w:lang w:val="en-US"/>
          <w14:textFill>
            <w14:solidFill>
              <w14:srgbClr w14:val="030303"/>
            </w14:solidFill>
          </w14:textFill>
        </w:rPr>
        <w:t>ARTICLE SEVEN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Trustee Succession, Appointment, and Removal</w:t>
      </w:r>
    </w:p>
    <w:p>
      <w:pPr>
        <w:pStyle w:val="Body"/>
        <w:numPr>
          <w:ilvl w:val="0"/>
          <w:numId w:val="3"/>
        </w:numPr>
        <w:bidi w:val="0"/>
        <w:spacing w:before="230" w:line="324" w:lineRule="auto"/>
        <w:ind w:right="82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Trustees During Lifetime: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During the joint lifetimes of the Grantors, the Grantors shall serve as Co-Trustees of this Trust</w:t>
      </w:r>
      <w:r>
        <w:rPr>
          <w:caps w:val="0"/>
          <w:smallCaps w:val="0"/>
          <w:strike w:val="0"/>
          <w:dstrike w:val="0"/>
          <w:outline w:val="0"/>
          <w:color w:val="363636"/>
          <w:sz w:val="26"/>
          <w:szCs w:val="26"/>
          <w:u w:val="none" w:color="363636"/>
          <w:shd w:val="nil" w:color="auto" w:fill="auto"/>
          <w:vertAlign w:val="baseline"/>
          <w:rtl w:val="0"/>
          <w14:textFill>
            <w14:solidFill>
              <w14:srgbClr w14:val="363636"/>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Each Grantor shall retain authority over:</w:t>
      </w:r>
    </w:p>
    <w:p>
      <w:pPr>
        <w:pStyle w:val="Body"/>
        <w:numPr>
          <w:ilvl w:val="1"/>
          <w:numId w:val="3"/>
        </w:numPr>
        <w:bidi w:val="0"/>
        <w:spacing w:before="48"/>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That Grantor's separate property; and</w:t>
      </w:r>
    </w:p>
    <w:p>
      <w:pPr>
        <w:pStyle w:val="Body"/>
        <w:numPr>
          <w:ilvl w:val="1"/>
          <w:numId w:val="3"/>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That portion of community property allocated to that Grantor under Article Three.</w:t>
      </w:r>
    </w:p>
    <w:p>
      <w:pPr>
        <w:pStyle w:val="Body"/>
        <w:spacing w:before="162" w:line="316" w:lineRule="auto"/>
        <w:ind w:left="963" w:hanging="5"/>
        <w:rPr>
          <w:sz w:val="26"/>
          <w:szCs w:val="26"/>
        </w:rPr>
      </w:pPr>
      <w:r>
        <w:rPr>
          <w:outline w:val="0"/>
          <w:color w:val="030303"/>
          <w:sz w:val="26"/>
          <w:szCs w:val="26"/>
          <w:u w:color="030303"/>
          <w:rtl w:val="0"/>
          <w:lang w:val="en-US"/>
          <w14:textFill>
            <w14:solidFill>
              <w14:srgbClr w14:val="030303"/>
            </w14:solidFill>
          </w14:textFill>
        </w:rPr>
        <w:t>The Co-Trustees shall act jointly with respect to community property except as otherwise directed by the applicable Grantor under Article Three.</w:t>
      </w:r>
    </w:p>
    <w:p>
      <w:pPr>
        <w:pStyle w:val="Body"/>
        <w:numPr>
          <w:ilvl w:val="0"/>
          <w:numId w:val="9"/>
        </w:numPr>
        <w:bidi w:val="0"/>
        <w:spacing w:before="78" w:line="312" w:lineRule="auto"/>
        <w:ind w:right="8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Successor Trustees: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If no Grantor is serving as Trustee due to death, incapacity, resignation, or removal, the following individuals shall serve as successor Trustee in the order listed:</w:t>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{#trustees}</w:t>
      </w:r>
    </w:p>
    <w:p>
      <w:pPr>
        <w:pStyle w:val="Body"/>
        <w:numPr>
          <w:ilvl w:val="0"/>
          <w:numId w:val="37"/>
        </w:numPr>
        <w:bidi w:val="0"/>
        <w:spacing w:before="142"/>
        <w:ind w:right="0"/>
        <w:jc w:val="left"/>
        <w:rPr>
          <w:outline w:val="0"/>
          <w:color w:val="030303"/>
          <w:sz w:val="27"/>
          <w:szCs w:val="27"/>
          <w:rtl w:val="0"/>
          <w14:textFill>
            <w14:solidFill>
              <w14:srgbClr w14:val="030303"/>
            </w14:solidFill>
          </w14:textFill>
        </w:rPr>
      </w:pPr>
      <w:r>
        <w:rPr>
          <w:outline w:val="0"/>
          <w:color w:val="030303"/>
          <w:sz w:val="27"/>
          <w:szCs w:val="27"/>
          <w:u w:color="030303"/>
          <w:rtl w:val="0"/>
          <w14:textFill>
            <w14:solidFill>
              <w14:srgbClr w14:val="030303"/>
            </w14:solidFill>
          </w14:textFill>
        </w:rPr>
        <w:t>{.}</w:t>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{/trustees}</w:t>
      </w:r>
    </w:p>
    <w:p>
      <w:pPr>
        <w:pStyle w:val="Body"/>
        <w:spacing w:before="155" w:line="304" w:lineRule="auto"/>
        <w:ind w:left="963" w:right="497" w:hanging="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Only one successor Trustee shall serve at a time, and each successor shall serve individually.</w:t>
      </w:r>
    </w:p>
    <w:p>
      <w:pPr>
        <w:pStyle w:val="Body"/>
        <w:numPr>
          <w:ilvl w:val="0"/>
          <w:numId w:val="38"/>
        </w:numPr>
        <w:bidi w:val="0"/>
        <w:spacing w:before="58"/>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Resignation: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Trustee may resign by written notice delivered to:</w:t>
      </w:r>
    </w:p>
    <w:p>
      <w:pPr>
        <w:pStyle w:val="Body"/>
        <w:numPr>
          <w:ilvl w:val="1"/>
          <w:numId w:val="38"/>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if living;</w:t>
      </w:r>
    </w:p>
    <w:p>
      <w:pPr>
        <w:pStyle w:val="Body"/>
        <w:numPr>
          <w:ilvl w:val="1"/>
          <w:numId w:val="38"/>
        </w:numPr>
        <w:bidi w:val="0"/>
        <w:spacing w:before="137"/>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then-serving Co-Trustee; or</w:t>
      </w:r>
    </w:p>
    <w:p>
      <w:pPr>
        <w:pStyle w:val="Body"/>
        <w:numPr>
          <w:ilvl w:val="1"/>
          <w:numId w:val="38"/>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majority of adult Income Beneficiaries, if no Grantor is living.</w:t>
      </w:r>
    </w:p>
    <w:p>
      <w:pPr>
        <w:pStyle w:val="Body"/>
        <w:spacing w:before="142" w:line="300" w:lineRule="auto"/>
        <w:ind w:left="958" w:firstLine="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Resignation shall become effective upon acceptance by a successor Trustee or on the date specified in the notice.</w:t>
      </w:r>
    </w:p>
    <w:p>
      <w:pPr>
        <w:pStyle w:val="Body"/>
        <w:numPr>
          <w:ilvl w:val="0"/>
          <w:numId w:val="21"/>
        </w:numPr>
        <w:bidi w:val="0"/>
        <w:spacing w:before="79" w:line="306" w:lineRule="auto"/>
        <w:ind w:right="55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Removal of Trustee: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their joint lifetimes, the Grantors may remove any Trustee at any time, with or without cause. After the death of one Grantor, the surviving Grantor (if serving) may remove any Trustee. After the death of both Grantors, a majority of the adult Income Beneficiaries of the relevant trust may remove a Trustee and appoint a successor. Any removal shall be effective only upon the written appointment and acceptance of a successor Trustee. No successor Trustee appointed by beneficiaries shall be related or subordinate to any removing beneficiary within the meaning of lnternal Revenue Code Section 672(c). A minor or incapacitated beneficiary's parent or legal representative may act on that beneficiary's behalf.</w:t>
      </w:r>
    </w:p>
    <w:p>
      <w:pPr>
        <w:pStyle w:val="Body"/>
        <w:numPr>
          <w:ilvl w:val="0"/>
          <w:numId w:val="18"/>
        </w:numPr>
        <w:bidi w:val="0"/>
        <w:spacing w:before="56"/>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Vacancy: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vacancy exists and no designated successor is willing or able to serve:</w:t>
      </w:r>
    </w:p>
    <w:p>
      <w:pPr>
        <w:pStyle w:val="Body"/>
        <w:numPr>
          <w:ilvl w:val="1"/>
          <w:numId w:val="18"/>
        </w:numPr>
        <w:bidi w:val="0"/>
        <w:spacing w:before="14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lifetime of a Grantor, the acting Grantor may appoint a successor Trustee.</w:t>
      </w:r>
    </w:p>
    <w:p>
      <w:pPr>
        <w:pStyle w:val="Body"/>
        <w:numPr>
          <w:ilvl w:val="1"/>
          <w:numId w:val="39"/>
        </w:numPr>
        <w:bidi w:val="0"/>
        <w:spacing w:before="141" w:line="312" w:lineRule="auto"/>
        <w:ind w:right="481"/>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After both Grantors' deaths, a majority of adult beneficiaries may appoint a successor Trustee</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40"/>
        </w:numPr>
        <w:bidi w:val="0"/>
        <w:spacing w:before="111" w:line="306" w:lineRule="auto"/>
        <w:ind w:right="6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Rights and Powers of Successor Trustees: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Each successor Trustee shall have all rights, powers, privileges, and duties granted to the initial Trustees under this Trust Agreement.</w:t>
      </w:r>
    </w:p>
    <w:p>
      <w:pPr>
        <w:pStyle w:val="Body"/>
        <w:tabs>
          <w:tab w:val="left" w:pos="961"/>
          <w:tab w:val="left" w:pos="967"/>
        </w:tabs>
        <w:spacing w:before="111" w:line="306" w:lineRule="auto"/>
        <w:ind w:left="958" w:right="676" w:firstLine="0"/>
        <w:rPr>
          <w:outline w:val="0"/>
          <w:color w:val="030303"/>
          <w:sz w:val="27"/>
          <w:szCs w:val="27"/>
          <w:u w:color="030303"/>
          <w14:textFill>
            <w14:solidFill>
              <w14:srgbClr w14:val="030303"/>
            </w14:solidFill>
          </w14:textFill>
        </w:rPr>
      </w:pPr>
    </w:p>
    <w:p>
      <w:pPr>
        <w:pStyle w:val="Body"/>
        <w:tabs>
          <w:tab w:val="left" w:pos="961"/>
          <w:tab w:val="left" w:pos="967"/>
        </w:tabs>
        <w:spacing w:before="111" w:line="306" w:lineRule="auto"/>
        <w:ind w:right="676"/>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4384" behindDoc="0" locked="0" layoutInCell="1" allowOverlap="1">
                <wp:simplePos x="0" y="0"/>
                <wp:positionH relativeFrom="column">
                  <wp:posOffset>0</wp:posOffset>
                </wp:positionH>
                <wp:positionV relativeFrom="line">
                  <wp:posOffset>54800</wp:posOffset>
                </wp:positionV>
                <wp:extent cx="6743700" cy="12700"/>
                <wp:effectExtent l="0" t="0" r="0" b="0"/>
                <wp:wrapTopAndBottom distT="0" distB="0"/>
                <wp:docPr id="1073741832"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3" style="visibility:visible;position:absolute;margin-left:0.0pt;margin-top:4.3pt;width:531.0pt;height:1.0pt;z-index:25166438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ind w:firstLine="363"/>
      </w:pPr>
      <w:r>
        <w:rPr>
          <w:outline w:val="0"/>
          <w:color w:val="030303"/>
          <w:u w:color="030303"/>
          <w:rtl w:val="0"/>
          <w:lang w:val="en-US"/>
          <w14:textFill>
            <w14:solidFill>
              <w14:srgbClr w14:val="030303"/>
            </w14:solidFill>
          </w14:textFill>
        </w:rPr>
        <w:t>ARTICLE EIGHT</w:t>
      </w:r>
    </w:p>
    <w:p>
      <w:pPr>
        <w:pStyle w:val="Body"/>
        <w:spacing w:before="1"/>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During a Grantor's Incapacity</w:t>
      </w:r>
    </w:p>
    <w:p>
      <w:pPr>
        <w:pStyle w:val="Body"/>
        <w:numPr>
          <w:ilvl w:val="0"/>
          <w:numId w:val="9"/>
        </w:numPr>
        <w:bidi w:val="0"/>
        <w:spacing w:before="220" w:line="306" w:lineRule="auto"/>
        <w:ind w:right="83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Definition of a Grantor's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be deemed incapacitated if the Grantor is unable to manage his or her financial, property, or business affairs effectively due to illness, injury, advanced age, or other cause.</w:t>
      </w:r>
    </w:p>
    <w:p>
      <w:pPr>
        <w:pStyle w:val="Body"/>
        <w:numPr>
          <w:ilvl w:val="0"/>
          <w:numId w:val="18"/>
        </w:numPr>
        <w:bidi w:val="0"/>
        <w:spacing w:before="62" w:line="300" w:lineRule="auto"/>
        <w:ind w:right="53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Determination of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determination of incapacity may be established by any of the following:</w:t>
      </w:r>
    </w:p>
    <w:p>
      <w:pPr>
        <w:pStyle w:val="Body"/>
        <w:numPr>
          <w:ilvl w:val="1"/>
          <w:numId w:val="41"/>
        </w:numPr>
        <w:bidi w:val="0"/>
        <w:spacing w:before="79" w:line="297" w:lineRule="auto"/>
        <w:ind w:right="1066"/>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written certification by one licensed physician who has examined the Grantor within a reasonable time;</w:t>
      </w:r>
    </w:p>
    <w:p>
      <w:pPr>
        <w:pStyle w:val="Body"/>
        <w:numPr>
          <w:ilvl w:val="1"/>
          <w:numId w:val="42"/>
        </w:numPr>
        <w:bidi w:val="0"/>
        <w:spacing w:before="8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written determination by a court of competent jurisdiction; or</w:t>
      </w:r>
    </w:p>
    <w:p>
      <w:pPr>
        <w:pStyle w:val="Body"/>
        <w:numPr>
          <w:ilvl w:val="1"/>
          <w:numId w:val="43"/>
        </w:numPr>
        <w:bidi w:val="0"/>
        <w:spacing w:before="141" w:line="300" w:lineRule="auto"/>
        <w:ind w:right="427"/>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one Grantor is not incapacitated, the written determination of that Grantor together with the written certification of one licensed physician.</w:t>
      </w:r>
    </w:p>
    <w:p>
      <w:pPr>
        <w:pStyle w:val="Body"/>
        <w:spacing w:before="79" w:line="300" w:lineRule="auto"/>
        <w:ind w:left="963" w:right="362" w:hanging="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conclusively on any such written determination without further inquiry.</w:t>
      </w:r>
    </w:p>
    <w:p>
      <w:pPr>
        <w:pStyle w:val="Body"/>
        <w:numPr>
          <w:ilvl w:val="0"/>
          <w:numId w:val="44"/>
        </w:numPr>
        <w:bidi w:val="0"/>
        <w:spacing w:before="80" w:line="300" w:lineRule="auto"/>
        <w:ind w:right="80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Restoration of 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be deemed restored to capacity upon written certification by a licensed physician stating that the Grantor is able to manage his or her financial affairs.</w:t>
      </w:r>
    </w:p>
    <w:p>
      <w:pPr>
        <w:pStyle w:val="Body"/>
        <w:numPr>
          <w:ilvl w:val="0"/>
          <w:numId w:val="45"/>
        </w:numPr>
        <w:bidi w:val="0"/>
        <w:spacing w:before="80" w:line="304" w:lineRule="auto"/>
        <w:ind w:right="52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Temporary Incapacity Due to Absence: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also be deemed incapacitated if the Grantor is missing, detained, or otherwise unable to communicate for a period exceeding thirty (30) days under circumstances reasonably indicating inability to manage financial affairs. Such incapacity may be established by an affidavit of the acting Trustee describing the circumstances. A third party acting in good faith may rely upon such affidavit. Capacity shall be deemed restored upon written notice from the Grantor demonstrating the ability to resume management of financial affairs.</w:t>
      </w:r>
    </w:p>
    <w:p>
      <w:pPr>
        <w:pStyle w:val="Body"/>
        <w:numPr>
          <w:ilvl w:val="0"/>
          <w:numId w:val="12"/>
        </w:numPr>
        <w:bidi w:val="0"/>
        <w:spacing w:before="80" w:line="306" w:lineRule="auto"/>
        <w:ind w:right="96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Authority During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a Grantor's incapacity, the Trustee may administer and distribute that Grantor's separate property and allocated share of community property for:</w:t>
      </w:r>
    </w:p>
    <w:p>
      <w:pPr>
        <w:pStyle w:val="Body"/>
        <w:numPr>
          <w:ilvl w:val="1"/>
          <w:numId w:val="12"/>
        </w:numPr>
        <w:bidi w:val="0"/>
        <w:spacing w:before="53"/>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health, support, and reasonable comfort;</w:t>
      </w:r>
    </w:p>
    <w:p>
      <w:pPr>
        <w:pStyle w:val="Body"/>
        <w:numPr>
          <w:ilvl w:val="1"/>
          <w:numId w:val="1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best interests and welfare; and</w:t>
      </w:r>
    </w:p>
    <w:p>
      <w:pPr>
        <w:pStyle w:val="Body"/>
        <w:numPr>
          <w:ilvl w:val="1"/>
          <w:numId w:val="1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support of any person dependent upon the Grantor.</w:t>
      </w:r>
    </w:p>
    <w:p>
      <w:pPr>
        <w:pStyle w:val="Body"/>
        <w:spacing w:before="141" w:line="306" w:lineRule="auto"/>
        <w:ind w:left="962" w:right="362" w:hanging="4"/>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act in good faith and in a manner consistent with the incapacitated Grantor's best interests and customary standard of living. The Trustee may make distributions directly to</w:t>
      </w:r>
      <w:r>
        <w:rPr>
          <w:caps w:val="0"/>
          <w:smallCaps w:val="0"/>
          <w:strike w:val="0"/>
          <w:dstrike w:val="0"/>
          <w:outline w:val="0"/>
          <w:color w:val="2f2f2f"/>
          <w:sz w:val="27"/>
          <w:szCs w:val="27"/>
          <w:u w:val="none" w:color="2f2f2f"/>
          <w:shd w:val="nil" w:color="auto" w:fill="auto"/>
          <w:vertAlign w:val="baseline"/>
          <w:rtl w:val="0"/>
          <w14:textFill>
            <w14:solidFill>
              <w14:srgbClr w14:val="2F2F2F"/>
            </w14:solidFill>
          </w14:textFill>
        </w:rPr>
        <w:t>:</w:t>
      </w:r>
    </w:p>
    <w:p>
      <w:pPr>
        <w:pStyle w:val="Body"/>
        <w:numPr>
          <w:ilvl w:val="1"/>
          <w:numId w:val="12"/>
        </w:numPr>
        <w:bidi w:val="0"/>
        <w:spacing w:before="5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incapacitated Grantor;</w:t>
      </w:r>
    </w:p>
    <w:p>
      <w:pPr>
        <w:pStyle w:val="Body"/>
        <w:numPr>
          <w:ilvl w:val="1"/>
          <w:numId w:val="46"/>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 agent acting under a valid durable power of attorney;</w:t>
      </w:r>
    </w:p>
    <w:p>
      <w:pPr>
        <w:pStyle w:val="Body"/>
        <w:numPr>
          <w:ilvl w:val="1"/>
          <w:numId w:val="46"/>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court-appointed guardian or conservator; or</w:t>
      </w:r>
    </w:p>
    <w:p>
      <w:pPr>
        <w:pStyle w:val="Body"/>
        <w:numPr>
          <w:ilvl w:val="1"/>
          <w:numId w:val="46"/>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or entity providing goods or services for the Grantor's benefit.</w:t>
      </w:r>
    </w:p>
    <w:p>
      <w:pPr>
        <w:pStyle w:val="Body"/>
        <w:spacing w:before="141" w:line="300" w:lineRule="auto"/>
        <w:ind w:left="963" w:right="497" w:hanging="5"/>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Trustee's determination of appropriate distributions during incapacity shall be made in good faith and shall be conclusive absent abuse of discretion.</w:t>
      </w:r>
    </w:p>
    <w:p>
      <w:pPr>
        <w:pStyle w:val="Body"/>
        <w:spacing w:before="141" w:line="300" w:lineRule="auto"/>
        <w:ind w:left="963" w:right="497" w:hanging="5"/>
        <w:rPr>
          <w:outline w:val="0"/>
          <w:color w:val="030303"/>
          <w:sz w:val="27"/>
          <w:szCs w:val="27"/>
          <w:u w:color="030303"/>
          <w14:textFill>
            <w14:solidFill>
              <w14:srgbClr w14:val="030303"/>
            </w14:solidFill>
          </w14:textFill>
        </w:rPr>
      </w:pPr>
    </w:p>
    <w:p>
      <w:pPr>
        <w:pStyle w:val="Body"/>
        <w:spacing w:before="141" w:line="300" w:lineRule="auto"/>
        <w:ind w:right="497"/>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5408" behindDoc="0" locked="0" layoutInCell="1" allowOverlap="1">
                <wp:simplePos x="0" y="0"/>
                <wp:positionH relativeFrom="column">
                  <wp:posOffset>0</wp:posOffset>
                </wp:positionH>
                <wp:positionV relativeFrom="line">
                  <wp:posOffset>70040</wp:posOffset>
                </wp:positionV>
                <wp:extent cx="6743700" cy="12700"/>
                <wp:effectExtent l="0" t="0" r="0" b="0"/>
                <wp:wrapTopAndBottom distT="0" distB="0"/>
                <wp:docPr id="1073741833"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4" style="visibility:visible;position:absolute;margin-left:0.0pt;margin-top:5.5pt;width:531.0pt;height:1.0pt;z-index:25166540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5"/>
        <w:spacing w:before="62"/>
        <w:ind w:firstLine="363"/>
      </w:pPr>
      <w:r>
        <w:rPr>
          <w:outline w:val="0"/>
          <w:color w:val="030303"/>
          <w:u w:color="030303"/>
          <w:rtl w:val="0"/>
          <w:lang w:val="en-US"/>
          <w14:textFill>
            <w14:solidFill>
              <w14:srgbClr w14:val="030303"/>
            </w14:solidFill>
          </w14:textFill>
        </w:rPr>
        <w:t>ARTICLE NINE</w:t>
      </w:r>
    </w:p>
    <w:p>
      <w:pPr>
        <w:pStyle w:val="Body"/>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of Our Trust Upon the Death of a Grantor</w:t>
      </w:r>
    </w:p>
    <w:p>
      <w:pPr>
        <w:pStyle w:val="Body"/>
        <w:numPr>
          <w:ilvl w:val="0"/>
          <w:numId w:val="47"/>
        </w:numPr>
        <w:bidi w:val="0"/>
        <w:spacing w:before="220" w:line="306" w:lineRule="auto"/>
        <w:ind w:right="39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Division of Trust Property: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the first Grantor to die, the Trustee shall prepare an informal inventory of all trust property. The surviving Grantor's separate property and allocated share of community property shall constitute the Survivor's Trust, which shall continue to be administered for the surviving Grantor's benefit. The deceased Grantor's separate property and allocated share of community property shall constitute the Deceased Grantor's Trust Property, which shall be administered as provided below. The Trustee may divide community property on a pro-rata or non-pro-rata basis, in cash or in kind, and based on aggregate value rather than asset-by-asset allocation.</w:t>
      </w:r>
    </w:p>
    <w:p>
      <w:pPr>
        <w:pStyle w:val="Body"/>
        <w:numPr>
          <w:ilvl w:val="0"/>
          <w:numId w:val="10"/>
        </w:numPr>
        <w:bidi w:val="0"/>
        <w:spacing w:before="51" w:line="300" w:lineRule="auto"/>
        <w:ind w:right="69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Administrative Trust Period: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Deceased Grantor's Trust Property shall be held as an administrative trust for the period reasonably necessary to:</w:t>
      </w:r>
    </w:p>
    <w:p>
      <w:pPr>
        <w:pStyle w:val="Body"/>
        <w:numPr>
          <w:ilvl w:val="1"/>
          <w:numId w:val="10"/>
        </w:numPr>
        <w:bidi w:val="0"/>
        <w:spacing w:before="79"/>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Identify heirs and beneficiaries;</w:t>
      </w:r>
    </w:p>
    <w:p>
      <w:pPr>
        <w:pStyle w:val="Body"/>
        <w:numPr>
          <w:ilvl w:val="1"/>
          <w:numId w:val="48"/>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Pay lawful debts and expenses;</w:t>
      </w:r>
    </w:p>
    <w:p>
      <w:pPr>
        <w:pStyle w:val="Body"/>
        <w:numPr>
          <w:ilvl w:val="1"/>
          <w:numId w:val="10"/>
        </w:numPr>
        <w:bidi w:val="0"/>
        <w:spacing w:before="16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Satisfy taxes; and</w:t>
      </w:r>
    </w:p>
    <w:p>
      <w:pPr>
        <w:pStyle w:val="Body"/>
        <w:numPr>
          <w:ilvl w:val="1"/>
          <w:numId w:val="49"/>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Complete required accounting.</w:t>
      </w:r>
    </w:p>
    <w:p>
      <w:pPr>
        <w:pStyle w:val="Body"/>
        <w:spacing w:before="156"/>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Deceased Grantor's Trust Property shall become irrevocable upon death.</w:t>
      </w:r>
    </w:p>
    <w:p>
      <w:pPr>
        <w:pStyle w:val="Body"/>
        <w:numPr>
          <w:ilvl w:val="0"/>
          <w:numId w:val="11"/>
        </w:numPr>
        <w:bidi w:val="0"/>
        <w:spacing w:before="141" w:line="300" w:lineRule="auto"/>
        <w:ind w:right="45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Payment of Debts and Expenses: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pay from the Deceased Grantor's Trust Property:</w:t>
      </w:r>
    </w:p>
    <w:p>
      <w:pPr>
        <w:pStyle w:val="Body"/>
        <w:numPr>
          <w:ilvl w:val="1"/>
          <w:numId w:val="11"/>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Expenses of last illness, funeral, and burial;</w:t>
      </w:r>
    </w:p>
    <w:p>
      <w:pPr>
        <w:pStyle w:val="Body"/>
        <w:numPr>
          <w:ilvl w:val="1"/>
          <w:numId w:val="1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Legally enforceable claims;</w:t>
      </w:r>
    </w:p>
    <w:p>
      <w:pPr>
        <w:pStyle w:val="Body"/>
        <w:numPr>
          <w:ilvl w:val="1"/>
          <w:numId w:val="11"/>
        </w:numPr>
        <w:bidi w:val="0"/>
        <w:spacing w:before="1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Costs of administration; and</w:t>
      </w:r>
    </w:p>
    <w:p>
      <w:pPr>
        <w:pStyle w:val="Body"/>
        <w:numPr>
          <w:ilvl w:val="1"/>
          <w:numId w:val="1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Court-ordered family allowances.</w:t>
      </w:r>
    </w:p>
    <w:p>
      <w:pPr>
        <w:pStyle w:val="Body"/>
        <w:spacing w:before="141" w:line="312"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Such payments are discretionary and may be made without court approval. No third party shall have a direct claim against the Trust solely by reason of this authority.</w:t>
      </w:r>
    </w:p>
    <w:p>
      <w:pPr>
        <w:pStyle w:val="Body"/>
        <w:numPr>
          <w:ilvl w:val="0"/>
          <w:numId w:val="44"/>
        </w:numPr>
        <w:bidi w:val="0"/>
        <w:spacing w:before="48" w:line="306" w:lineRule="auto"/>
        <w:ind w:right="5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Accounts: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Qualified retirement benefits payable to this Trust shall be administered in a manner consistent with applicable federal law governing required minimum distributions. The Trustee shall distribute or hold retirement benefits only for individual beneficiaries where required by law and shall take reasonable steps to preserve favorable tax treatment. Retirement benefits shall not be used to pay debts or administrative expenses after the legally applicable designation date, except as permitted bylaw.</w:t>
      </w:r>
    </w:p>
    <w:p>
      <w:pPr>
        <w:pStyle w:val="Body"/>
        <w:numPr>
          <w:ilvl w:val="0"/>
          <w:numId w:val="11"/>
        </w:numPr>
        <w:bidi w:val="0"/>
        <w:spacing w:before="59" w:line="300" w:lineRule="auto"/>
        <w:ind w:right="7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Payment of Death Taxes: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pay death taxes attributable to the Deceased Grantor's estate from the Deceased Grantor's Trust Property without apportionment,</w:t>
      </w:r>
    </w:p>
    <w:p>
      <w:pPr>
        <w:pStyle w:val="Body"/>
        <w:spacing w:before="62" w:line="300" w:lineRule="auto"/>
        <w:ind w:left="967" w:right="497" w:hanging="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unless otherwise required by law. The Trustee shall not seek contribution from beneficiaries for such payment.</w:t>
      </w:r>
    </w:p>
    <w:p>
      <w:pPr>
        <w:pStyle w:val="Body"/>
        <w:numPr>
          <w:ilvl w:val="0"/>
          <w:numId w:val="50"/>
        </w:numPr>
        <w:bidi w:val="0"/>
        <w:spacing w:before="79" w:line="300" w:lineRule="auto"/>
        <w:ind w:right="105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Authority to Make Tax Elections: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make any elections reasonably necessary for efficient tax administration of the Deceased Grantor's estate, including:</w:t>
      </w:r>
    </w:p>
    <w:p>
      <w:pPr>
        <w:pStyle w:val="Body"/>
        <w:numPr>
          <w:ilvl w:val="1"/>
          <w:numId w:val="50"/>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Electing alternate valuation dates;</w:t>
      </w:r>
    </w:p>
    <w:p>
      <w:pPr>
        <w:pStyle w:val="Body"/>
        <w:numPr>
          <w:ilvl w:val="1"/>
          <w:numId w:val="5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Determining whether expenses are deducted for estate or income tax purposes; and</w:t>
      </w:r>
    </w:p>
    <w:p>
      <w:pPr>
        <w:pStyle w:val="Body"/>
        <w:numPr>
          <w:ilvl w:val="1"/>
          <w:numId w:val="50"/>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Electing portability of unused exclusion amounts, if advisable.</w:t>
      </w:r>
    </w:p>
    <w:p>
      <w:pPr>
        <w:pStyle w:val="Body"/>
        <w:spacing w:before="156"/>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not be liable for good-faith decisions regarding tax elections.</w:t>
      </w:r>
    </w:p>
    <w:p>
      <w:pPr>
        <w:pStyle w:val="Body"/>
        <w:numPr>
          <w:ilvl w:val="0"/>
          <w:numId w:val="22"/>
        </w:numPr>
        <w:bidi w:val="0"/>
        <w:spacing w:before="141" w:line="306" w:lineRule="auto"/>
        <w:ind w:right="54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Portability Election: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elect portability of any deceased Grantor's unused federal estate tax exclusion amount, if applicable, by timely filing any required federal estate tax return and making such election, provided the Trustee determines in good faith that doing so is advisable for tax planning purposes. The Trustee shall not be liable for failing to make a portability election if, in the Trustee's reasonable judgment, no material tax benefit would result.</w:t>
      </w:r>
    </w:p>
    <w:p>
      <w:pPr>
        <w:pStyle w:val="Body"/>
        <w:numPr>
          <w:ilvl w:val="0"/>
          <w:numId w:val="52"/>
        </w:numPr>
        <w:bidi w:val="0"/>
        <w:spacing w:before="62" w:line="306" w:lineRule="auto"/>
        <w:ind w:right="77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Charitable Distributions: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the extent practicable, charitable bequests shall be funded using income in respect of a decedent (IRD) assets where doing so provides favorable income tax treatment.</w:t>
      </w:r>
    </w:p>
    <w:p>
      <w:pPr>
        <w:pStyle w:val="Body"/>
        <w:tabs>
          <w:tab w:val="left" w:pos="961"/>
          <w:tab w:val="left" w:pos="963"/>
        </w:tabs>
        <w:spacing w:before="62" w:line="306" w:lineRule="auto"/>
        <w:ind w:left="958" w:right="770" w:firstLine="0"/>
        <w:rPr>
          <w:outline w:val="0"/>
          <w:color w:val="030303"/>
          <w:sz w:val="27"/>
          <w:szCs w:val="27"/>
          <w:u w:color="030303"/>
          <w14:textFill>
            <w14:solidFill>
              <w14:srgbClr w14:val="030303"/>
            </w14:solidFill>
          </w14:textFill>
        </w:rPr>
      </w:pPr>
    </w:p>
    <w:p>
      <w:pPr>
        <w:pStyle w:val="Body"/>
        <w:tabs>
          <w:tab w:val="left" w:pos="961"/>
          <w:tab w:val="left" w:pos="963"/>
        </w:tabs>
        <w:spacing w:before="62" w:line="306" w:lineRule="auto"/>
        <w:ind w:right="770"/>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6432" behindDoc="0" locked="0" layoutInCell="1" allowOverlap="1">
                <wp:simplePos x="0" y="0"/>
                <wp:positionH relativeFrom="column">
                  <wp:posOffset>0</wp:posOffset>
                </wp:positionH>
                <wp:positionV relativeFrom="line">
                  <wp:posOffset>29908</wp:posOffset>
                </wp:positionV>
                <wp:extent cx="6743700" cy="12700"/>
                <wp:effectExtent l="0" t="0" r="0" b="0"/>
                <wp:wrapTopAndBottom distT="0" distB="0"/>
                <wp:docPr id="1073741834"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5" style="visibility:visible;position:absolute;margin-left:0.0pt;margin-top:2.4pt;width:531.0pt;height:1.0pt;z-index:25166643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ind w:firstLine="363"/>
      </w:pPr>
      <w:bookmarkStart w:name="_headingh.tnl267wnt3po" w:id="0"/>
      <w:bookmarkEnd w:id="0"/>
      <w:r>
        <w:rPr>
          <w:outline w:val="0"/>
          <w:color w:val="030303"/>
          <w:u w:color="030303"/>
          <w:rtl w:val="0"/>
          <w:lang w:val="en-US"/>
          <w14:textFill>
            <w14:solidFill>
              <w14:srgbClr w14:val="030303"/>
            </w14:solidFill>
          </w14:textFill>
        </w:rPr>
        <w:t>A</w:t>
      </w:r>
      <w:r>
        <w:rPr>
          <w:outline w:val="0"/>
          <w:color w:val="030303"/>
          <w:u w:color="030303"/>
          <w:rtl w:val="0"/>
          <w:lang w:val="en-US"/>
          <w14:textFill>
            <w14:solidFill>
              <w14:srgbClr w14:val="030303"/>
            </w14:solidFill>
          </w14:textFill>
        </w:rPr>
        <w:t>RTICLE TEN</w:t>
      </w:r>
    </w:p>
    <w:p>
      <w:pPr>
        <w:pStyle w:val="Body"/>
        <w:spacing w:before="33"/>
        <w:rPr>
          <w:b w:val="1"/>
          <w:bCs w:val="1"/>
          <w:sz w:val="27"/>
          <w:szCs w:val="27"/>
        </w:rPr>
      </w:pPr>
    </w:p>
    <w:p>
      <w:pPr>
        <w:pStyle w:val="Body"/>
        <w:ind w:left="362"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Specific Bequests </w:t>
      </w:r>
      <w:r>
        <w:rPr>
          <w:rFonts w:ascii="Arial" w:hAnsi="Arial"/>
          <w:b w:val="1"/>
          <w:bCs w:val="1"/>
          <w:i w:val="1"/>
          <w:iCs w:val="1"/>
          <w:outline w:val="0"/>
          <w:color w:val="030303"/>
          <w:sz w:val="24"/>
          <w:szCs w:val="24"/>
          <w:u w:color="030303"/>
          <w:rtl w:val="0"/>
          <w14:textFill>
            <w14:solidFill>
              <w14:srgbClr w14:val="030303"/>
            </w14:solidFill>
          </w14:textFill>
        </w:rPr>
        <w:t xml:space="preserve">(Wasiyah) </w:t>
      </w:r>
      <w:r>
        <w:rPr>
          <w:b w:val="1"/>
          <w:bCs w:val="1"/>
          <w:outline w:val="0"/>
          <w:color w:val="030303"/>
          <w:sz w:val="26"/>
          <w:szCs w:val="26"/>
          <w:u w:color="030303"/>
          <w:rtl w:val="0"/>
          <w:lang w:val="en-US"/>
          <w14:textFill>
            <w14:solidFill>
              <w14:srgbClr w14:val="030303"/>
            </w14:solidFill>
          </w14:textFill>
        </w:rPr>
        <w:t>of Each Grantor</w:t>
      </w:r>
    </w:p>
    <w:p>
      <w:pPr>
        <w:pStyle w:val="Body"/>
        <w:numPr>
          <w:ilvl w:val="0"/>
          <w:numId w:val="53"/>
        </w:numPr>
        <w:bidi w:val="0"/>
        <w:spacing w:before="220" w:line="304" w:lineRule="auto"/>
        <w:ind w:right="598"/>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Individual Nature of Bequests: </w:t>
      </w:r>
      <w:r>
        <w:rPr>
          <w:outline w:val="0"/>
          <w:color w:val="030303"/>
          <w:sz w:val="27"/>
          <w:szCs w:val="27"/>
          <w:u w:color="030303"/>
          <w:rtl w:val="0"/>
          <w:lang w:val="en-US"/>
          <w14:textFill>
            <w14:solidFill>
              <w14:srgbClr w14:val="030303"/>
            </w14:solidFill>
          </w14:textFill>
        </w:rPr>
        <w:t>Each Grantor may designate specific charitable or other permissible bequests to take effect upon that Grantor's death. All bequests made by a Grantor under this Article shall be satisfied solely from that Grantor's Deceased Grantor's Trust Property and shall not affect the Survivor's Trust or the other Grantor's property.</w:t>
      </w:r>
    </w:p>
    <w:p>
      <w:pPr>
        <w:pStyle w:val="Body"/>
        <w:numPr>
          <w:ilvl w:val="0"/>
          <w:numId w:val="54"/>
        </w:numPr>
        <w:bidi w:val="0"/>
        <w:spacing w:before="71" w:line="304" w:lineRule="auto"/>
        <w:ind w:right="47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Bequests of Husband: </w:t>
      </w:r>
      <w:r>
        <w:rPr>
          <w:outline w:val="0"/>
          <w:color w:val="030303"/>
          <w:sz w:val="27"/>
          <w:szCs w:val="27"/>
          <w:u w:color="030303"/>
          <w:rtl w:val="0"/>
          <w:lang w:val="en-US"/>
          <w14:textFill>
            <w14:solidFill>
              <w14:srgbClr w14:val="030303"/>
            </w14:solidFill>
          </w14:textFill>
        </w:rPr>
        <w:t>Upon the death of {husbandFullName}, the Trustee shall distribute the following bequests from Husband's net distributable estate: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{^husbandCharitable}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ab/>
        <w:t>Husband has made no charitable bequests under this Article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{/husbandCharitable}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ab/>
        <w:t>{:table husbandCharitable}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ab/>
        <w:t>{:table husbandNonCharitable}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p>
    <w:p>
      <w:pPr>
        <w:pStyle w:val="Body"/>
        <w:numPr>
          <w:ilvl w:val="0"/>
          <w:numId w:val="55"/>
        </w:numPr>
        <w:bidi w:val="0"/>
        <w:spacing w:before="80" w:line="300" w:lineRule="auto"/>
        <w:ind w:right="346"/>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Bequests of Wife: </w:t>
      </w:r>
      <w:r>
        <w:rPr>
          <w:outline w:val="0"/>
          <w:color w:val="030303"/>
          <w:sz w:val="27"/>
          <w:szCs w:val="27"/>
          <w:u w:color="030303"/>
          <w:rtl w:val="0"/>
          <w:lang w:val="en-US"/>
          <w14:textFill>
            <w14:solidFill>
              <w14:srgbClr w14:val="030303"/>
            </w14:solidFill>
          </w14:textFill>
        </w:rPr>
        <w:t xml:space="preserve">Upon the death of {wifeFullName}, the Trustee shall distribute the following bequests from Wife's net distributable estate: </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{^wifeCharitable}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ab/>
        <w:t>Wife has made no charitable bequests under this Article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{/wifeCharitable}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ab/>
        <w:t>{:table wifeCharitable}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ab/>
        <w:t>{:table wifeNonCharitable}</w:t>
      </w:r>
    </w:p>
    <w:p>
      <w:pPr>
        <w:pStyle w:val="Body"/>
        <w:tabs>
          <w:tab w:val="left" w:pos="960"/>
        </w:tabs>
        <w:spacing w:before="71" w:line="304" w:lineRule="auto"/>
        <w:ind w:right="474"/>
        <w:rPr>
          <w:outline w:val="0"/>
          <w:color w:val="030303"/>
          <w:sz w:val="27"/>
          <w:szCs w:val="27"/>
          <w:u w:color="030303"/>
          <w14:textFill>
            <w14:solidFill>
              <w14:srgbClr w14:val="030303"/>
            </w14:solidFill>
          </w14:textFill>
        </w:rPr>
      </w:pPr>
    </w:p>
    <w:p>
      <w:pPr>
        <w:pStyle w:val="Body"/>
        <w:numPr>
          <w:ilvl w:val="0"/>
          <w:numId w:val="55"/>
        </w:numPr>
        <w:bidi w:val="0"/>
        <w:spacing w:before="84" w:line="304" w:lineRule="auto"/>
        <w:ind w:right="355"/>
        <w:jc w:val="left"/>
        <w:rPr>
          <w:outline w:val="0"/>
          <w:color w:val="030303"/>
          <w:sz w:val="26"/>
          <w:szCs w:val="26"/>
          <w:rtl w:val="0"/>
          <w14:textFill>
            <w14:solidFill>
              <w14:srgbClr w14:val="030303"/>
            </w14:solidFill>
          </w14:textFill>
        </w:rPr>
      </w:pPr>
      <w:r>
        <w:rPr>
          <w:outline w:val="0"/>
          <w:color w:val="030303"/>
          <w:sz w:val="26"/>
          <w:szCs w:val="26"/>
          <w:u w:color="030303"/>
          <w:rtl w:val="0"/>
          <w14:textFill>
            <w14:solidFill>
              <w14:srgbClr w14:val="030303"/>
            </w14:solidFill>
          </w14:textFill>
        </w:rPr>
        <w:t xml:space="preserve"> </w:t>
      </w:r>
      <w:r>
        <w:rPr>
          <w:b w:val="1"/>
          <w:bCs w:val="1"/>
          <w:outline w:val="0"/>
          <w:color w:val="030303"/>
          <w:sz w:val="26"/>
          <w:szCs w:val="26"/>
          <w:u w:color="030303"/>
          <w:rtl w:val="0"/>
          <w:lang w:val="en-US"/>
          <w14:textFill>
            <w14:solidFill>
              <w14:srgbClr w14:val="030303"/>
            </w14:solidFill>
          </w14:textFill>
        </w:rPr>
        <w:t xml:space="preserve">One-Third Limitation: </w:t>
      </w:r>
      <w:r>
        <w:rPr>
          <w:outline w:val="0"/>
          <w:color w:val="030303"/>
          <w:sz w:val="27"/>
          <w:szCs w:val="27"/>
          <w:u w:color="030303"/>
          <w:rtl w:val="0"/>
          <w:lang w:val="en-US"/>
          <w14:textFill>
            <w14:solidFill>
              <w14:srgbClr w14:val="030303"/>
            </w14:solidFill>
          </w14:textFill>
        </w:rPr>
        <w:t>The total of all bequests made by a Grantor under this Article shall not exceed one-third (1/3) of that Grantor's net distributable estate after payment of debts, funeral expenses, and administrative costs, unless all Islamic heirs of that Grantor consent in writing after death. If the total designated bequests exceed one-third (1/3), the Trustee shall proportionally reduce such bequests to comply with this limitation. No bequest shall be distributed to a person who qualifies as an Islamic heir of the Grantor at the time of death unless all other Islamic heirs provide written consent after death.</w:t>
      </w:r>
    </w:p>
    <w:p>
      <w:pPr>
        <w:pStyle w:val="Body"/>
        <w:numPr>
          <w:ilvl w:val="0"/>
          <w:numId w:val="56"/>
        </w:numPr>
        <w:bidi w:val="0"/>
        <w:spacing w:before="76" w:line="302" w:lineRule="auto"/>
        <w:ind w:right="38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Lapse or Failure of Bequest: </w:t>
      </w:r>
      <w:r>
        <w:rPr>
          <w:outline w:val="0"/>
          <w:color w:val="030303"/>
          <w:sz w:val="24"/>
          <w:szCs w:val="24"/>
          <w:u w:color="030303"/>
          <w:rtl w:val="0"/>
          <w:lang w:val="en-US"/>
          <w14:textFill>
            <w14:solidFill>
              <w14:srgbClr w14:val="030303"/>
            </w14:solidFill>
          </w14:textFill>
        </w:rPr>
        <w:t xml:space="preserve">If </w:t>
      </w:r>
      <w:r>
        <w:rPr>
          <w:outline w:val="0"/>
          <w:color w:val="030303"/>
          <w:sz w:val="27"/>
          <w:szCs w:val="27"/>
          <w:u w:color="030303"/>
          <w:rtl w:val="0"/>
          <w:lang w:val="en-US"/>
          <w14:textFill>
            <w14:solidFill>
              <w14:srgbClr w14:val="030303"/>
            </w14:solidFill>
          </w14:textFill>
        </w:rPr>
        <w:t>any designated charity or beneficiary does not exist, declines the bequest, or is legally incapable of receiving it, that portion shall be added to the residuary estate of that Grantor and distributed in accordance with the following Article.</w:t>
      </w:r>
    </w:p>
    <w:p>
      <w:pPr>
        <w:pStyle w:val="Body"/>
        <w:spacing w:before="139"/>
        <w:rPr>
          <w:sz w:val="20"/>
          <w:szCs w:val="20"/>
        </w:rPr>
      </w:pPr>
      <w:r>
        <mc:AlternateContent>
          <mc:Choice Requires="wps">
            <w:drawing xmlns:a="http://schemas.openxmlformats.org/drawingml/2006/main">
              <wp:anchor distT="0" distB="0" distL="0" distR="0" simplePos="0" relativeHeight="251667456" behindDoc="0" locked="0" layoutInCell="1" allowOverlap="1">
                <wp:simplePos x="0" y="0"/>
                <wp:positionH relativeFrom="column">
                  <wp:posOffset>285750</wp:posOffset>
                </wp:positionH>
                <wp:positionV relativeFrom="line">
                  <wp:posOffset>241690</wp:posOffset>
                </wp:positionV>
                <wp:extent cx="6743700" cy="12700"/>
                <wp:effectExtent l="0" t="0" r="0" b="0"/>
                <wp:wrapTopAndBottom distT="0" distB="0"/>
                <wp:docPr id="1073741835"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6" style="visibility:visible;position:absolute;margin-left:22.5pt;margin-top:19.0pt;width:531.0pt;height:1.0pt;z-index:25166745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2"/>
        </w:tabs>
        <w:spacing w:before="76" w:line="302" w:lineRule="auto"/>
        <w:ind w:left="958" w:right="384" w:firstLine="0"/>
        <w:sectPr>
          <w:headerReference w:type="default" r:id="rId4"/>
          <w:footerReference w:type="default" r:id="rId5"/>
          <w:pgSz w:w="12240" w:h="15840" w:orient="portrait"/>
          <w:pgMar w:top="300" w:right="360" w:bottom="280" w:left="360" w:header="360" w:footer="360"/>
          <w:pgNumType w:start="1"/>
          <w:bidi w:val="0"/>
        </w:sectPr>
      </w:pPr>
    </w:p>
    <w:p>
      <w:pPr>
        <w:pStyle w:val="Body"/>
        <w:tabs>
          <w:tab w:val="left" w:pos="962"/>
        </w:tabs>
        <w:spacing w:before="76" w:line="302" w:lineRule="auto"/>
        <w:ind w:right="384"/>
        <w:rPr>
          <w:outline w:val="0"/>
          <w:color w:val="030303"/>
          <w:sz w:val="26"/>
          <w:szCs w:val="26"/>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ELEVEN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The Survivor's Trust</w:t>
      </w:r>
    </w:p>
    <w:p>
      <w:pPr>
        <w:pStyle w:val="Body"/>
        <w:numPr>
          <w:ilvl w:val="0"/>
          <w:numId w:val="22"/>
        </w:numPr>
        <w:bidi w:val="0"/>
        <w:spacing w:before="221" w:line="309" w:lineRule="auto"/>
        <w:ind w:right="42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Purpose of This Article: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Survivor's Trust shall consist solely of the surviving Grantor's separate property and allocated share of community property following the death of the first Grantor. The Survivor's Trust shall be administered exclusively for the benefit of the surviving Grantor during the surviving Grantor's lifetime.</w:t>
      </w:r>
    </w:p>
    <w:p>
      <w:pPr>
        <w:pStyle w:val="Body"/>
        <w:numPr>
          <w:ilvl w:val="0"/>
          <w:numId w:val="57"/>
        </w:numPr>
        <w:bidi w:val="0"/>
        <w:spacing w:before="51"/>
        <w:ind w:right="0"/>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Trustee: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surviving Grantor may serve as sole Trustee of the Survivor's Trust.</w:t>
      </w:r>
    </w:p>
    <w:p>
      <w:pPr>
        <w:pStyle w:val="Body"/>
        <w:numPr>
          <w:ilvl w:val="0"/>
          <w:numId w:val="9"/>
        </w:numPr>
        <w:bidi w:val="0"/>
        <w:spacing w:before="141" w:line="306" w:lineRule="auto"/>
        <w:ind w:right="5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Right to Amend and Revoke: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surviving Grantor retains the absolute right to amend, restate, or revoke the Survivor's Trust in whole or in part during the surviving Grantor's lifetime. This right applies solely to the Survivor's Trust and does not permit modification of any distributions made or required upon the death of the first Grantor. Any amendment or revocation must be in writing and signed by the surviving Grantor.</w:t>
      </w:r>
    </w:p>
    <w:p>
      <w:pPr>
        <w:pStyle w:val="Body"/>
        <w:numPr>
          <w:ilvl w:val="0"/>
          <w:numId w:val="8"/>
        </w:numPr>
        <w:bidi w:val="0"/>
        <w:spacing w:before="56" w:line="309" w:lineRule="auto"/>
        <w:ind w:right="53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Administration: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distribute all net income of the Survivor's Trust to the surviving Grantor at least annually. The Trustee may distribute as much of the principal of the Survivor's Trust to the surviving Grantor as the Trustee determines advisable for any purpose.</w:t>
      </w:r>
    </w:p>
    <w:p>
      <w:pPr>
        <w:pStyle w:val="Body"/>
        <w:numPr>
          <w:ilvl w:val="0"/>
          <w:numId w:val="9"/>
        </w:numPr>
        <w:bidi w:val="0"/>
        <w:spacing w:before="46" w:line="306" w:lineRule="auto"/>
        <w:ind w:right="52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Incapacity of the Surviving 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any period in which the surviving Grantor is incapacitated, the Survivor's Trust shall be administered in accordance with Article Eight of this Trust Agreement.</w:t>
      </w:r>
    </w:p>
    <w:p>
      <w:pPr>
        <w:pStyle w:val="Body"/>
        <w:numPr>
          <w:ilvl w:val="0"/>
          <w:numId w:val="9"/>
        </w:numPr>
        <w:bidi w:val="0"/>
        <w:spacing w:before="57" w:line="312" w:lineRule="auto"/>
        <w:ind w:right="5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Distribution Upon Death of the Surviving 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the surviving Grantor, the Survivor's Trust shall become irrevocable. After completion of administrative</w:t>
      </w:r>
    </w:p>
    <w:p>
      <w:pPr>
        <w:pStyle w:val="Body"/>
        <w:spacing w:before="67" w:line="319" w:lineRule="auto"/>
        <w:ind w:left="960" w:right="362"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tasks under Article Nine, the remaining property of the Survivor's Trust shall be distributed in accordance with Article Twelve (Distribution in Accordance with the Islamic Law of Inheritance).</w:t>
      </w:r>
    </w:p>
    <w:p>
      <w:pPr>
        <w:pStyle w:val="Body"/>
        <w:spacing w:before="116"/>
        <w:rPr>
          <w:sz w:val="20"/>
          <w:szCs w:val="20"/>
        </w:rPr>
      </w:pPr>
      <w:r>
        <mc:AlternateContent>
          <mc:Choice Requires="wps">
            <w:drawing xmlns:a="http://schemas.openxmlformats.org/drawingml/2006/main">
              <wp:anchor distT="0" distB="0" distL="0" distR="0" simplePos="0" relativeHeight="251668480"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6"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7" style="visibility:visible;position:absolute;margin-left:22.5pt;margin-top:17.9pt;width:531.0pt;height:1.0pt;z-index:251668480;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2"/>
          <w:tab w:val="left" w:pos="964"/>
        </w:tabs>
        <w:spacing w:before="225" w:line="319" w:lineRule="auto"/>
        <w:ind w:right="438"/>
        <w:rPr>
          <w:b w:val="1"/>
          <w:bCs w:val="1"/>
          <w:outline w:val="0"/>
          <w:color w:val="030303"/>
          <w:sz w:val="26"/>
          <w:szCs w:val="26"/>
          <w:u w:color="030303"/>
          <w14:textFill>
            <w14:solidFill>
              <w14:srgbClr w14:val="030303"/>
            </w14:solidFill>
          </w14:textFill>
        </w:rPr>
      </w:pPr>
    </w:p>
    <w:p>
      <w:pPr>
        <w:pStyle w:val="Body"/>
        <w:ind w:left="363" w:firstLine="0"/>
        <w:rPr>
          <w:b w:val="1"/>
          <w:bCs w:val="1"/>
          <w:sz w:val="26"/>
          <w:szCs w:val="26"/>
        </w:rPr>
      </w:pPr>
      <w:r>
        <w:rPr>
          <w:b w:val="1"/>
          <w:bCs w:val="1"/>
          <w:outline w:val="0"/>
          <w:color w:val="030303"/>
          <w:sz w:val="26"/>
          <w:szCs w:val="26"/>
          <w:u w:color="030303"/>
          <w:rtl w:val="0"/>
          <w:lang w:val="fr-FR"/>
          <w14:textFill>
            <w14:solidFill>
              <w14:srgbClr w14:val="030303"/>
            </w14:solidFill>
          </w14:textFill>
        </w:rPr>
        <w:t>ARTICLE TWELVE</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The Islamic Distribution Trust </w:t>
      </w:r>
    </w:p>
    <w:p>
      <w:pPr>
        <w:pStyle w:val="Body"/>
        <w:numPr>
          <w:ilvl w:val="0"/>
          <w:numId w:val="10"/>
        </w:numPr>
        <w:bidi w:val="0"/>
        <w:spacing w:before="225" w:line="319" w:lineRule="auto"/>
        <w:ind w:right="43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Application of </w:t>
      </w:r>
      <w:r>
        <w:rPr>
          <w:b w:val="1"/>
          <w:bCs w:val="1"/>
          <w:outline w:val="0"/>
          <w:color w:val="030303"/>
          <w:sz w:val="26"/>
          <w:szCs w:val="26"/>
          <w:u w:color="030303"/>
          <w:rtl w:val="0"/>
          <w:lang w:val="it-IT"/>
          <w14:textFill>
            <w14:solidFill>
              <w14:srgbClr w14:val="030303"/>
            </w14:solidFill>
          </w14:textFill>
        </w:rPr>
        <w:t>Islamic</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Law of Inheritance: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Upon completion of the administrative period described in Article Nine and satisfaction of all valid specific bequests under Article Ten, the Trustee shall distribute the remaining Deceased Grantor's Trust Property in strict accordance with the Islamic Law </w:t>
      </w:r>
      <w:r>
        <w:rPr>
          <w:outline w:val="0"/>
          <w:color w:val="030303"/>
          <w:sz w:val="26"/>
          <w:szCs w:val="26"/>
          <w:u w:color="030303"/>
          <w:rtl w:val="0"/>
          <w:lang w:val="en-US"/>
          <w14:textFill>
            <w14:solidFill>
              <w14:srgbClr w14:val="030303"/>
            </w14:solidFill>
          </w14:textFill>
        </w:rPr>
        <w:t>of inheritance</w:t>
      </w:r>
      <w:r>
        <w:rPr>
          <w:caps w:val="0"/>
          <w:smallCaps w:val="0"/>
          <w:strike w:val="0"/>
          <w:dstrike w:val="0"/>
          <w:outline w:val="0"/>
          <w:color w:val="2b2b2b"/>
          <w:sz w:val="26"/>
          <w:szCs w:val="26"/>
          <w:u w:val="none" w:color="2b2b2b"/>
          <w:shd w:val="nil" w:color="auto" w:fill="auto"/>
          <w:vertAlign w:val="baseline"/>
          <w:rtl w:val="0"/>
          <w14:textFill>
            <w14:solidFill>
              <w14:srgbClr w14:val="2B2B2B"/>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The Islamic Law </w:t>
      </w:r>
      <w:r>
        <w:rPr>
          <w:outline w:val="0"/>
          <w:color w:val="030303"/>
          <w:sz w:val="26"/>
          <w:szCs w:val="26"/>
          <w:u w:color="030303"/>
          <w:rtl w:val="0"/>
          <w:lang w:val="en-US"/>
          <w14:textFill>
            <w14:solidFill>
              <w14:srgbClr w14:val="030303"/>
            </w14:solidFill>
          </w14:textFill>
        </w:rPr>
        <w:t>of inheritance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shall mean the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fara'id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system derived from the Qur'an and authentic Sunnah, as implemented through the calculation methodology embedded in this Trust instrument.</w:t>
      </w:r>
    </w:p>
    <w:p>
      <w:pPr>
        <w:pStyle w:val="Body"/>
        <w:numPr>
          <w:ilvl w:val="0"/>
          <w:numId w:val="58"/>
        </w:numPr>
        <w:bidi w:val="0"/>
        <w:spacing w:before="51" w:line="319" w:lineRule="auto"/>
        <w:ind w:right="5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Identification of Heirs and Recalculation:</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Trustee shall determine the identity of the Deceased Grantor's surviving Islamic heirs as of the date of death. The fractional shares stated in this Trust shall be recalculated at the time of death based on:</w:t>
      </w:r>
    </w:p>
    <w:p>
      <w:pPr>
        <w:pStyle w:val="Body"/>
        <w:numPr>
          <w:ilvl w:val="1"/>
          <w:numId w:val="58"/>
        </w:numPr>
        <w:bidi w:val="0"/>
        <w:spacing w:before="52"/>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heirs then living;</w:t>
      </w:r>
    </w:p>
    <w:p>
      <w:pPr>
        <w:pStyle w:val="Body"/>
        <w:numPr>
          <w:ilvl w:val="1"/>
          <w:numId w:val="58"/>
        </w:numPr>
        <w:bidi w:val="0"/>
        <w:spacing w:before="167"/>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exclusion rules applicable under Islamic inheritance law;</w:t>
      </w:r>
    </w:p>
    <w:p>
      <w:pPr>
        <w:pStyle w:val="Body"/>
        <w:numPr>
          <w:ilvl w:val="1"/>
          <w:numId w:val="58"/>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presence or absence of descendants, ascendants, or spouses;</w:t>
      </w:r>
    </w:p>
    <w:p>
      <w:pPr>
        <w:pStyle w:val="Body"/>
        <w:numPr>
          <w:ilvl w:val="1"/>
          <w:numId w:val="58"/>
        </w:numPr>
        <w:bidi w:val="0"/>
        <w:spacing w:before="162"/>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principles of residuary distribution (</w:t>
      </w:r>
      <w:r>
        <w:rPr>
          <w:caps w:val="0"/>
          <w:smallCaps w:val="0"/>
          <w:strike w:val="0"/>
          <w:dstrike w:val="0"/>
          <w:outline w:val="0"/>
          <w:color w:val="000000"/>
          <w:sz w:val="4"/>
          <w:szCs w:val="4"/>
          <w:u w:val="none" w:color="000000"/>
          <w:shd w:val="nil" w:color="auto" w:fill="auto"/>
          <w:vertAlign w:val="baseline"/>
          <w:rtl w:val="0"/>
          <w14:textFill>
            <w14:solidFill>
              <w14:srgbClr w14:val="000000"/>
            </w14:solidFill>
          </w14:textFill>
        </w:rPr>
        <w:t xml:space="preserve">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asabah); </w:t>
      </w: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and</w:t>
      </w:r>
    </w:p>
    <w:p>
      <w:pPr>
        <w:pStyle w:val="Body"/>
        <w:numPr>
          <w:ilvl w:val="1"/>
          <w:numId w:val="58"/>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The application of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radd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(return) where applicable</w:t>
      </w:r>
      <w:r>
        <w:rPr>
          <w:caps w:val="0"/>
          <w:smallCaps w:val="0"/>
          <w:strike w:val="0"/>
          <w:dstrike w:val="0"/>
          <w:outline w:val="0"/>
          <w:color w:val="2b2b2b"/>
          <w:sz w:val="26"/>
          <w:szCs w:val="26"/>
          <w:u w:val="none" w:color="2b2b2b"/>
          <w:shd w:val="nil" w:color="auto" w:fill="auto"/>
          <w:vertAlign w:val="baseline"/>
          <w:rtl w:val="0"/>
          <w14:textFill>
            <w14:solidFill>
              <w14:srgbClr w14:val="2B2B2B"/>
            </w14:solidFill>
          </w14:textFill>
        </w:rPr>
        <w:t>.</w:t>
      </w:r>
    </w:p>
    <w:p>
      <w:pPr>
        <w:pStyle w:val="Body"/>
        <w:spacing w:before="153" w:line="319" w:lineRule="auto"/>
        <w:ind w:left="962" w:right="497"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Any fractional shares listed in this Trust are illustrative of the expected calculation based on the Grantors' family circumstances at execution and shall be superseded by the recalculated shares </w:t>
      </w:r>
    </w:p>
    <w:p>
      <w:pPr>
        <w:pStyle w:val="Body"/>
        <w:spacing w:before="153" w:line="319" w:lineRule="auto"/>
        <w:ind w:left="962" w:right="497" w:firstLine="0"/>
        <w:rPr>
          <w:sz w:val="26"/>
          <w:szCs w:val="26"/>
        </w:rPr>
      </w:pPr>
      <w:r>
        <w:rPr>
          <w:outline w:val="0"/>
          <w:color w:val="030303"/>
          <w:sz w:val="26"/>
          <w:szCs w:val="26"/>
          <w:u w:color="030303"/>
          <w:rtl w:val="0"/>
          <w:lang w:val="en-US"/>
          <w14:textFill>
            <w14:solidFill>
              <w14:srgbClr w14:val="030303"/>
            </w14:solidFill>
          </w14:textFill>
        </w:rPr>
        <w:t>at death.</w:t>
      </w:r>
    </w:p>
    <w:p>
      <w:pPr>
        <w:pStyle w:val="heading 5"/>
      </w:pPr>
      <w:r>
        <w:rPr>
          <w:sz w:val="26"/>
          <w:szCs w:val="26"/>
          <w:rtl w:val="0"/>
          <w:lang w:val="en-US"/>
        </w:rPr>
        <w:t>Husband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Share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{#husbandHeirs}{heirName}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{heirShare}{/</w:t>
            </w:r>
            <w:r>
              <w:rPr>
                <w:rtl w:val="0"/>
                <w:lang w:val="en-US"/>
              </w:rPr>
              <w:t>husbandHeirs</w:t>
            </w:r>
            <w:r>
              <w:rPr>
                <w:shd w:val="nil" w:color="auto" w:fill="auto"/>
                <w:rtl w:val="0"/>
                <w:lang w:val="en-US"/>
              </w:rPr>
              <w:t>}</w:t>
            </w:r>
          </w:p>
        </w:tc>
      </w:tr>
    </w:tbl>
    <w:p>
      <w:pPr>
        <w:pStyle w:val="Body"/>
        <w:tabs>
          <w:tab w:val="left" w:pos="5270"/>
        </w:tabs>
        <w:spacing w:before="123"/>
        <w:ind w:left="501" w:hanging="501"/>
      </w:pPr>
    </w:p>
    <w:p>
      <w:pPr>
        <w:pStyle w:val="heading 5"/>
      </w:pPr>
    </w:p>
    <w:p>
      <w:pPr>
        <w:pStyle w:val="heading 5"/>
      </w:pPr>
      <w:r>
        <w:rPr>
          <w:sz w:val="26"/>
          <w:szCs w:val="26"/>
          <w:rtl w:val="0"/>
          <w:lang w:val="en-US"/>
        </w:rPr>
        <w:t>Wife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Share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t>
            </w:r>
            <w:r>
              <w:rPr>
                <w:shd w:val="nil" w:color="auto" w:fill="auto"/>
                <w:rtl w:val="0"/>
                <w:lang w:val="en-US"/>
              </w:rPr>
              <w:t>wifeHeirs</w:t>
            </w:r>
            <w:r>
              <w:rPr>
                <w:shd w:val="nil" w:color="auto" w:fill="auto"/>
                <w:rtl w:val="0"/>
                <w:lang w:val="en-US"/>
              </w:rPr>
              <w:t>}{heirName}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{heirShare}{/</w:t>
            </w:r>
            <w:r>
              <w:rPr>
                <w:rtl w:val="0"/>
                <w:lang w:val="en-US"/>
              </w:rPr>
              <w:t>wifeHeirs</w:t>
            </w:r>
            <w:r>
              <w:rPr>
                <w:shd w:val="nil" w:color="auto" w:fill="auto"/>
                <w:rtl w:val="0"/>
                <w:lang w:val="en-US"/>
              </w:rPr>
              <w:t>}</w:t>
            </w:r>
          </w:p>
        </w:tc>
      </w:tr>
    </w:tbl>
    <w:p>
      <w:pPr>
        <w:pStyle w:val="Body"/>
        <w:tabs>
          <w:tab w:val="left" w:pos="5270"/>
        </w:tabs>
        <w:spacing w:before="123"/>
        <w:ind w:left="501" w:hanging="501"/>
      </w:pPr>
    </w:p>
    <w:p>
      <w:pPr>
        <w:pStyle w:val="Body"/>
        <w:spacing w:before="153" w:line="319" w:lineRule="auto"/>
        <w:ind w:right="497"/>
        <w:rPr>
          <w:sz w:val="26"/>
          <w:szCs w:val="26"/>
        </w:rPr>
      </w:pPr>
    </w:p>
    <w:p>
      <w:pPr>
        <w:pStyle w:val="Body"/>
        <w:spacing w:before="153" w:line="319" w:lineRule="auto"/>
        <w:ind w:left="962" w:right="497" w:firstLine="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 xml:space="preserve">Note to Trustee: The fractional shares shown above are calculated based on the Grantors' family circumstances at the time this Trust was executed. These shares must be recalculated as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 xml:space="preserve">the date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 xml:space="preserve">each Grantor's death in accordance with Article Twelve and Schedule B, as the identity and eligibility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heirs may have changed.</w:t>
      </w:r>
    </w:p>
    <w:p>
      <w:pPr>
        <w:pStyle w:val="Body"/>
        <w:numPr>
          <w:ilvl w:val="0"/>
          <w:numId w:val="9"/>
        </w:numPr>
        <w:bidi w:val="0"/>
        <w:spacing w:before="37" w:line="306" w:lineRule="auto"/>
        <w:ind w:right="484"/>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Distribution to Adult Beneficiaries:</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beneficiary who has attained the age selected by the Grantors in the minor distribution provisions of this Trust shall receive his or her share outright.</w:t>
      </w:r>
    </w:p>
    <w:p>
      <w:pPr>
        <w:pStyle w:val="Body"/>
        <w:numPr>
          <w:ilvl w:val="0"/>
          <w:numId w:val="9"/>
        </w:numPr>
        <w:bidi w:val="0"/>
        <w:spacing w:before="52" w:line="306" w:lineRule="auto"/>
        <w:ind w:right="49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Distribution to Minor Beneficiaries:</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entitled to receive a share under this Article has not attained the age selected by the Grantors for outright distribution, that beneficiary's share shall be held in a separate trust for that beneficiary. The Trustee shall administer each such trust in accordance with the minor distribution provisions contained in Article Thirteen.</w:t>
      </w:r>
    </w:p>
    <w:p>
      <w:pPr>
        <w:pStyle w:val="Body"/>
        <w:numPr>
          <w:ilvl w:val="0"/>
          <w:numId w:val="7"/>
        </w:numPr>
        <w:bidi w:val="0"/>
        <w:spacing w:before="56" w:line="306" w:lineRule="auto"/>
        <w:ind w:right="48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Failure or Lapse: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otherwise entitled to inherit under this Article predeceases the Deceased Grantor, that person's share shall be recalculated and redistributed among the remaining heirs in accordance with the Islamic Law of Inheritance.</w:t>
      </w:r>
    </w:p>
    <w:p>
      <w:pPr>
        <w:pStyle w:val="Body"/>
        <w:spacing w:before="116"/>
        <w:rPr>
          <w:sz w:val="20"/>
          <w:szCs w:val="20"/>
        </w:rPr>
      </w:pPr>
      <w:r>
        <mc:AlternateContent>
          <mc:Choice Requires="wps">
            <w:drawing xmlns:a="http://schemas.openxmlformats.org/drawingml/2006/main">
              <wp:anchor distT="0" distB="0" distL="0" distR="0" simplePos="0" relativeHeight="251669504"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7"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8" style="visibility:visible;position:absolute;margin-left:22.5pt;margin-top:17.9pt;width:531.0pt;height:1.0pt;z-index:25166950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0"/>
          <w:tab w:val="left" w:pos="964"/>
        </w:tabs>
        <w:spacing w:before="56" w:line="306" w:lineRule="auto"/>
        <w:ind w:right="489"/>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THIRTEEN</w:t>
      </w:r>
    </w:p>
    <w:p>
      <w:pPr>
        <w:pStyle w:val="Body"/>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of Shares for Minor or Incapacitated Beneficiaries</w:t>
      </w:r>
    </w:p>
    <w:p>
      <w:pPr>
        <w:pStyle w:val="Body"/>
        <w:numPr>
          <w:ilvl w:val="0"/>
          <w:numId w:val="38"/>
        </w:numPr>
        <w:bidi w:val="0"/>
        <w:spacing w:before="221" w:line="304" w:lineRule="auto"/>
        <w:ind w:right="510"/>
        <w:jc w:val="left"/>
        <w:rPr>
          <w:outline w:val="0"/>
          <w:color w:val="030303"/>
          <w:sz w:val="26"/>
          <w:szCs w:val="26"/>
          <w:rtl w:val="0"/>
          <w:lang w:val="de-DE"/>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de-DE"/>
          <w14:textFill>
            <w14:solidFill>
              <w14:srgbClr w14:val="030303"/>
            </w14:solidFill>
          </w14:textFill>
        </w:rPr>
        <w:t xml:space="preserve">General Rule: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beneficiary entitled to receive a distribution under Article Twelve has not attained the age designated for outright distribution under this Article at the time of distribution, that beneficiary's share shall be held in a separate trust for that beneficiary. Each beneficiary's trust shall be administered independently.</w:t>
      </w:r>
    </w:p>
    <w:p>
      <w:pPr>
        <w:pStyle w:val="Body"/>
        <w:numPr>
          <w:ilvl w:val="0"/>
          <w:numId w:val="12"/>
        </w:numPr>
        <w:bidi w:val="0"/>
        <w:spacing w:before="76" w:line="304" w:lineRule="auto"/>
        <w:ind w:right="50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Authority During Minority: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Until final distribution, the Trustee may distribute as much of the income and principal of the beneficiary's trust as the Trustee determines advisable for the beneficiary's health, education, maintenance, and support. Any undistributed income shall be added to principal. The Trustee may make distributions:</w:t>
      </w:r>
    </w:p>
    <w:p>
      <w:pPr>
        <w:pStyle w:val="Body"/>
        <w:numPr>
          <w:ilvl w:val="1"/>
          <w:numId w:val="59"/>
        </w:numPr>
        <w:bidi w:val="0"/>
        <w:spacing w:before="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Directly to the beneficiary;</w:t>
      </w:r>
    </w:p>
    <w:p>
      <w:pPr>
        <w:pStyle w:val="Body"/>
        <w:numPr>
          <w:ilvl w:val="1"/>
          <w:numId w:val="1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a parent, guardian, or conservator;</w:t>
      </w:r>
    </w:p>
    <w:p>
      <w:pPr>
        <w:pStyle w:val="Body"/>
        <w:numPr>
          <w:ilvl w:val="1"/>
          <w:numId w:val="1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a person or entity providing goods or services for the beneficiary's benefit; or</w:t>
      </w:r>
    </w:p>
    <w:p>
      <w:pPr>
        <w:pStyle w:val="Body"/>
        <w:numPr>
          <w:ilvl w:val="1"/>
          <w:numId w:val="60"/>
        </w:numPr>
        <w:bidi w:val="0"/>
        <w:spacing w:before="6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 any lawful manner the Trustee determines appropriate.</w:t>
      </w:r>
    </w:p>
    <w:p>
      <w:pPr>
        <w:pStyle w:val="Body"/>
      </w:pPr>
      <w:r>
        <w:rPr>
          <w:rtl w:val="0"/>
          <w:lang w:val="fr-FR"/>
        </w:rPr>
        <w:t>{#distribution}</w:t>
      </w:r>
    </w:p>
    <w:p>
      <w:pPr>
        <w:pStyle w:val="Body"/>
        <w:ind w:firstLine="720"/>
      </w:pPr>
      <w:r>
        <w:rPr>
          <w:rtl w:val="0"/>
          <w:lang w:val="it-IT"/>
        </w:rPr>
        <w:t>{#mode === 'staggered'}</w:t>
      </w:r>
    </w:p>
    <w:p>
      <w:pPr>
        <w:pStyle w:val="Body"/>
        <w:spacing w:line="302" w:lineRule="auto"/>
        <w:ind w:left="9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00000"/>
          <w:sz w:val="27"/>
          <w:szCs w:val="27"/>
          <w:u w:val="none" w:color="000000"/>
          <w:shd w:val="nil" w:color="auto" w:fill="auto"/>
          <w:vertAlign w:val="baseline"/>
          <w:rtl w:val="0"/>
          <w:lang w:val="en-US"/>
          <w14:textFill>
            <w14:solidFill>
              <w14:srgbClr w14:val="000000"/>
            </w14:solidFill>
          </w14:textFill>
        </w:rPr>
        <w:t>The beneficiary shall receive:</w:t>
      </w:r>
    </w:p>
    <w:p>
      <w:pPr>
        <w:pStyle w:val="Body"/>
        <w:numPr>
          <w:ilvl w:val="1"/>
          <w:numId w:val="61"/>
        </w:numPr>
        <w:bidi w:val="0"/>
        <w:spacing w:before="165"/>
        <w:ind w:right="0"/>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w:t>
      </w:r>
      <w:r>
        <w:rPr>
          <w:outline w:val="0"/>
          <w:color w:val="030303"/>
          <w:sz w:val="26"/>
          <w:szCs w:val="26"/>
          <w:u w:color="030303"/>
          <w:rtl w:val="0"/>
          <w:lang w:val="en-US"/>
          <w14:textFill>
            <w14:solidFill>
              <w14:srgbClr w14:val="030303"/>
            </w14:solidFill>
          </w14:textFill>
        </w:rPr>
        <w:t>firstPercent</w:t>
      </w: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of the trust property at age {</w:t>
      </w:r>
      <w:r>
        <w:rPr>
          <w:b w:val="1"/>
          <w:bCs w:val="1"/>
          <w:outline w:val="0"/>
          <w:color w:val="030303"/>
          <w:sz w:val="26"/>
          <w:szCs w:val="26"/>
          <w:u w:color="030303"/>
          <w:rtl w:val="0"/>
          <w:lang w:val="en-US"/>
          <w14:textFill>
            <w14:solidFill>
              <w14:srgbClr w14:val="030303"/>
            </w14:solidFill>
          </w14:textFill>
        </w:rPr>
        <w:t>firstAge</w:t>
      </w: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w:t>
      </w:r>
    </w:p>
    <w:p>
      <w:pPr>
        <w:pStyle w:val="Body"/>
        <w:numPr>
          <w:ilvl w:val="1"/>
          <w:numId w:val="61"/>
        </w:numPr>
        <w:bidi w:val="0"/>
        <w:spacing w:before="143"/>
        <w:ind w:right="0"/>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w:t>
      </w:r>
      <w:r>
        <w:rPr>
          <w:outline w:val="0"/>
          <w:color w:val="030303"/>
          <w:sz w:val="26"/>
          <w:szCs w:val="26"/>
          <w:u w:color="030303"/>
          <w:rtl w:val="0"/>
          <w:lang w:val="it-IT"/>
          <w14:textFill>
            <w14:solidFill>
              <w14:srgbClr w14:val="030303"/>
            </w14:solidFill>
          </w14:textFill>
        </w:rPr>
        <w:t>secondPercent</w:t>
      </w: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of the trust property at age {</w:t>
      </w:r>
      <w:r>
        <w:rPr>
          <w:b w:val="1"/>
          <w:bCs w:val="1"/>
          <w:outline w:val="0"/>
          <w:color w:val="030303"/>
          <w:sz w:val="26"/>
          <w:szCs w:val="26"/>
          <w:u w:color="030303"/>
          <w:rtl w:val="0"/>
          <w:lang w:val="it-IT"/>
          <w14:textFill>
            <w14:solidFill>
              <w14:srgbClr w14:val="030303"/>
            </w14:solidFill>
          </w14:textFill>
        </w:rPr>
        <w:t>secondAge</w:t>
      </w: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and</w:t>
      </w:r>
    </w:p>
    <w:p>
      <w:pPr>
        <w:pStyle w:val="Body"/>
        <w:numPr>
          <w:ilvl w:val="1"/>
          <w:numId w:val="12"/>
        </w:numPr>
        <w:bidi w:val="0"/>
        <w:spacing w:before="14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remaining balance at age </w:t>
      </w:r>
      <w:r>
        <w:rPr>
          <w:outline w:val="0"/>
          <w:color w:val="030303"/>
          <w:sz w:val="27"/>
          <w:szCs w:val="27"/>
          <w:u w:color="030303"/>
          <w:rtl w:val="0"/>
          <w:lang w:val="en-US"/>
          <w14:textFill>
            <w14:solidFill>
              <w14:srgbClr w14:val="030303"/>
            </w14:solidFill>
          </w14:textFill>
        </w:rPr>
        <w:t>[{remainderAge}]</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lang w:val="it-IT"/>
          <w14:textFill>
            <w14:solidFill>
              <w14:srgbClr w14:val="030303"/>
            </w14:solidFill>
          </w14:textFill>
        </w:rPr>
        <w:t>{/mode === 'staggered'}</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 xml:space="preserve">{#mode === </w:t>
      </w:r>
      <w:r>
        <w:rPr>
          <w:outline w:val="0"/>
          <w:color w:val="030303"/>
          <w:sz w:val="27"/>
          <w:szCs w:val="27"/>
          <w:u w:color="030303"/>
          <w:rtl w:val="1"/>
          <w14:textFill>
            <w14:solidFill>
              <w14:srgbClr w14:val="030303"/>
            </w14:solidFill>
          </w14:textFill>
        </w:rPr>
        <w:t>‘</w:t>
      </w:r>
      <w:r>
        <w:rPr>
          <w:outline w:val="0"/>
          <w:color w:val="030303"/>
          <w:sz w:val="27"/>
          <w:szCs w:val="27"/>
          <w:u w:color="030303"/>
          <w:rtl w:val="0"/>
          <w:lang w:val="en-US"/>
          <w14:textFill>
            <w14:solidFill>
              <w14:srgbClr w14:val="030303"/>
            </w14:solidFill>
          </w14:textFill>
        </w:rPr>
        <w:t>single-age</w:t>
      </w:r>
      <w:r>
        <w:rPr>
          <w:outline w:val="0"/>
          <w:color w:val="030303"/>
          <w:sz w:val="27"/>
          <w:szCs w:val="27"/>
          <w:u w:color="030303"/>
          <w:rtl w:val="1"/>
          <w14:textFill>
            <w14:solidFill>
              <w14:srgbClr w14:val="030303"/>
            </w14:solidFill>
          </w14:textFill>
        </w:rPr>
        <w:t>’</w:t>
      </w:r>
      <w:r>
        <w:rPr>
          <w:outline w:val="0"/>
          <w:color w:val="030303"/>
          <w:sz w:val="27"/>
          <w:szCs w:val="27"/>
          <w:u w:color="030303"/>
          <w:rtl w:val="0"/>
          <w14:textFill>
            <w14:solidFill>
              <w14:srgbClr w14:val="030303"/>
            </w14:solidFill>
          </w14:textFill>
        </w:rPr>
        <w:t>}</w:t>
      </w:r>
    </w:p>
    <w:p>
      <w:pPr>
        <w:pStyle w:val="Body"/>
        <w:ind w:firstLine="720"/>
        <w:rPr>
          <w:outline w:val="0"/>
          <w:color w:val="030303"/>
          <w:sz w:val="27"/>
          <w:szCs w:val="27"/>
          <w:u w:color="030303"/>
          <w14:textFill>
            <w14:solidFill>
              <w14:srgbClr w14:val="030303"/>
            </w14:solidFill>
          </w14:textFill>
        </w:rPr>
      </w:pPr>
      <w:r>
        <w:rPr>
          <w:sz w:val="27"/>
          <w:szCs w:val="27"/>
          <w:rtl w:val="0"/>
          <w:lang w:val="en-US"/>
        </w:rPr>
        <w:t>The beneficiary shall receive the entire remaining trust property outright upon reaching age {singleDistributionAge}, not to exceed age 30.</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 xml:space="preserve">{/mode === </w:t>
      </w:r>
      <w:r>
        <w:rPr>
          <w:outline w:val="0"/>
          <w:color w:val="030303"/>
          <w:sz w:val="27"/>
          <w:szCs w:val="27"/>
          <w:u w:color="030303"/>
          <w:rtl w:val="1"/>
          <w14:textFill>
            <w14:solidFill>
              <w14:srgbClr w14:val="030303"/>
            </w14:solidFill>
          </w14:textFill>
        </w:rPr>
        <w:t>‘</w:t>
      </w:r>
      <w:r>
        <w:rPr>
          <w:outline w:val="0"/>
          <w:color w:val="030303"/>
          <w:sz w:val="27"/>
          <w:szCs w:val="27"/>
          <w:u w:color="030303"/>
          <w:rtl w:val="0"/>
          <w:lang w:val="en-US"/>
          <w14:textFill>
            <w14:solidFill>
              <w14:srgbClr w14:val="030303"/>
            </w14:solidFill>
          </w14:textFill>
        </w:rPr>
        <w:t>single-age</w:t>
      </w:r>
      <w:r>
        <w:rPr>
          <w:outline w:val="0"/>
          <w:color w:val="030303"/>
          <w:sz w:val="27"/>
          <w:szCs w:val="27"/>
          <w:u w:color="030303"/>
          <w:rtl w:val="1"/>
          <w14:textFill>
            <w14:solidFill>
              <w14:srgbClr w14:val="030303"/>
            </w14:solidFill>
          </w14:textFill>
        </w:rPr>
        <w:t>’</w:t>
      </w:r>
      <w:r>
        <w:rPr>
          <w:outline w:val="0"/>
          <w:color w:val="030303"/>
          <w:sz w:val="27"/>
          <w:szCs w:val="27"/>
          <w:u w:color="030303"/>
          <w:rtl w:val="0"/>
          <w14:textFill>
            <w14:solidFill>
              <w14:srgbClr w14:val="030303"/>
            </w14:solidFill>
          </w14:textFill>
        </w:rPr>
        <w:t>}</w:t>
      </w:r>
    </w:p>
    <w:p>
      <w:pPr>
        <w:pStyle w:val="Body"/>
      </w:pPr>
      <w:r>
        <w:rPr>
          <w:rtl w:val="0"/>
        </w:rPr>
        <w:t xml:space="preserve">{#mode === </w:t>
      </w:r>
      <w:r>
        <w:rPr>
          <w:rtl w:val="1"/>
        </w:rPr>
        <w:t>‘</w:t>
      </w:r>
      <w:r>
        <w:rPr>
          <w:rtl w:val="0"/>
          <w:lang w:val="en-US"/>
        </w:rPr>
        <w:t>age-of-majority</w:t>
      </w:r>
      <w:r>
        <w:rPr>
          <w:rtl w:val="1"/>
        </w:rPr>
        <w:t>’</w:t>
      </w:r>
      <w:r>
        <w:rPr>
          <w:rtl w:val="0"/>
        </w:rPr>
        <w:t>}</w:t>
      </w:r>
    </w:p>
    <w:p>
      <w:pPr>
        <w:pStyle w:val="Body"/>
        <w:tabs>
          <w:tab w:val="left" w:pos="5988"/>
          <w:tab w:val="left" w:pos="9012"/>
          <w:tab w:val="left" w:pos="10154"/>
        </w:tabs>
        <w:spacing w:before="155" w:line="306" w:lineRule="auto"/>
        <w:ind w:left="961" w:right="406" w:hanging="2"/>
        <w:rPr>
          <w:sz w:val="27"/>
          <w:szCs w:val="27"/>
        </w:rPr>
      </w:pPr>
      <w:r>
        <w:rPr>
          <w:sz w:val="27"/>
          <w:szCs w:val="27"/>
          <w:rtl w:val="0"/>
          <w:lang w:val="en-US"/>
        </w:rPr>
        <w:t>The Trustee shall distribute the beneficiary's remaining trust property when the Trustee determines that the beneficiary has reached maturity (rushd), meaning:</w:t>
      </w:r>
    </w:p>
    <w:p>
      <w:pPr>
        <w:pStyle w:val="Body"/>
        <w:numPr>
          <w:ilvl w:val="1"/>
          <w:numId w:val="12"/>
        </w:numPr>
        <w:bidi w:val="0"/>
        <w:spacing w:before="48"/>
        <w:ind w:right="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The beneficiary has attained puberty; and</w:t>
      </w:r>
    </w:p>
    <w:p>
      <w:pPr>
        <w:pStyle w:val="Body"/>
        <w:numPr>
          <w:ilvl w:val="1"/>
          <w:numId w:val="62"/>
        </w:numPr>
        <w:bidi w:val="0"/>
        <w:spacing w:before="155" w:line="304" w:lineRule="auto"/>
        <w:ind w:right="781"/>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The beneficiary demonstrates sound judgment, responsibility in financial matters, and the ability to manage property prudently.</w:t>
      </w:r>
    </w:p>
    <w:p>
      <w:pPr>
        <w:pStyle w:val="Body"/>
        <w:spacing w:before="67" w:line="304" w:lineRule="auto"/>
        <w:ind w:left="958" w:right="362" w:firstLine="0"/>
        <w:rPr>
          <w:sz w:val="25"/>
          <w:szCs w:val="25"/>
        </w:rPr>
      </w:pPr>
      <w:r>
        <w:rPr>
          <w:outline w:val="0"/>
          <w:color w:val="030303"/>
          <w:sz w:val="27"/>
          <w:szCs w:val="27"/>
          <w:u w:color="030303"/>
          <w:rtl w:val="0"/>
          <w:lang w:val="en-US"/>
          <w14:textFill>
            <w14:solidFill>
              <w14:srgbClr w14:val="030303"/>
            </w14:solidFill>
          </w14:textFill>
        </w:rPr>
        <w:t xml:space="preserve">In making this determination, the Trustee may consider the beneficiary's ability to manage prior distributions, financial decision-making, religious and personal responsibility, and general maturity and conduct. </w:t>
      </w:r>
      <w:r>
        <w:rPr>
          <w:outline w:val="0"/>
          <w:color w:val="030303"/>
          <w:sz w:val="26"/>
          <w:szCs w:val="26"/>
          <w:u w:color="030303"/>
          <w:rtl w:val="0"/>
          <w:lang w:val="en-US"/>
          <w14:textFill>
            <w14:solidFill>
              <w14:srgbClr w14:val="030303"/>
            </w14:solidFill>
          </w14:textFill>
        </w:rPr>
        <w:t xml:space="preserve">If </w:t>
      </w:r>
      <w:r>
        <w:rPr>
          <w:outline w:val="0"/>
          <w:color w:val="030303"/>
          <w:sz w:val="27"/>
          <w:szCs w:val="27"/>
          <w:u w:color="030303"/>
          <w:rtl w:val="0"/>
          <w:lang w:val="en-US"/>
          <w14:textFill>
            <w14:solidFill>
              <w14:srgbClr w14:val="030303"/>
            </w14:solidFill>
          </w14:textFill>
        </w:rPr>
        <w:t xml:space="preserve">the Trustee has not determined that the beneficiary has demonstrated </w:t>
      </w:r>
      <w:r>
        <w:rPr>
          <w:rFonts w:ascii="Arial" w:hAnsi="Arial"/>
          <w:i w:val="1"/>
          <w:iCs w:val="1"/>
          <w:outline w:val="0"/>
          <w:color w:val="030303"/>
          <w:sz w:val="24"/>
          <w:szCs w:val="24"/>
          <w:u w:color="030303"/>
          <w:rtl w:val="0"/>
          <w:lang w:val="en-US"/>
          <w14:textFill>
            <w14:solidFill>
              <w14:srgbClr w14:val="030303"/>
            </w14:solidFill>
          </w14:textFill>
        </w:rPr>
        <w:t xml:space="preserve">rushd </w:t>
      </w:r>
      <w:r>
        <w:rPr>
          <w:outline w:val="0"/>
          <w:color w:val="030303"/>
          <w:sz w:val="27"/>
          <w:szCs w:val="27"/>
          <w:u w:color="030303"/>
          <w:rtl w:val="0"/>
          <w:lang w:val="en-US"/>
          <w14:textFill>
            <w14:solidFill>
              <w14:srgbClr w14:val="030303"/>
            </w14:solidFill>
          </w14:textFill>
        </w:rPr>
        <w:t xml:space="preserve">by age </w:t>
      </w:r>
      <w:r>
        <w:rPr>
          <w:outline w:val="0"/>
          <w:color w:val="030303"/>
          <w:sz w:val="25"/>
          <w:szCs w:val="25"/>
          <w:u w:color="030303"/>
          <w:rtl w:val="0"/>
          <w:lang w:val="ru-RU"/>
          <w14:textFill>
            <w14:solidFill>
              <w14:srgbClr w14:val="030303"/>
            </w14:solidFill>
          </w14:textFill>
        </w:rPr>
        <w:t xml:space="preserve">30, </w:t>
      </w:r>
      <w:r>
        <w:rPr>
          <w:outline w:val="0"/>
          <w:color w:val="030303"/>
          <w:sz w:val="27"/>
          <w:szCs w:val="27"/>
          <w:u w:color="030303"/>
          <w:rtl w:val="0"/>
          <w:lang w:val="en-US"/>
          <w14:textFill>
            <w14:solidFill>
              <w14:srgbClr w14:val="030303"/>
            </w14:solidFill>
          </w14:textFill>
        </w:rPr>
        <w:t xml:space="preserve">the remaining trust property shall be distributed outright at age </w:t>
      </w:r>
      <w:r>
        <w:rPr>
          <w:outline w:val="0"/>
          <w:color w:val="030303"/>
          <w:sz w:val="25"/>
          <w:szCs w:val="25"/>
          <w:u w:color="030303"/>
          <w:rtl w:val="0"/>
          <w14:textFill>
            <w14:solidFill>
              <w14:srgbClr w14:val="030303"/>
            </w14:solidFill>
          </w14:textFill>
        </w:rPr>
        <w:t>30.</w:t>
      </w:r>
    </w:p>
    <w:p>
      <w:pPr>
        <w:pStyle w:val="Body"/>
      </w:pPr>
      <w:r>
        <w:rPr>
          <w:rtl w:val="0"/>
        </w:rPr>
        <w:t xml:space="preserve">{/mode === </w:t>
      </w:r>
      <w:r>
        <w:rPr>
          <w:rtl w:val="1"/>
        </w:rPr>
        <w:t>‘</w:t>
      </w:r>
      <w:r>
        <w:rPr>
          <w:rtl w:val="0"/>
          <w:lang w:val="en-US"/>
        </w:rPr>
        <w:t>age-of-majority</w:t>
      </w:r>
      <w:r>
        <w:rPr>
          <w:rtl w:val="1"/>
        </w:rPr>
        <w:t>’</w:t>
      </w:r>
      <w:r>
        <w:rPr>
          <w:rtl w:val="0"/>
        </w:rPr>
        <w:t>}</w:t>
      </w:r>
    </w:p>
    <w:p>
      <w:pPr>
        <w:pStyle w:val="Body"/>
      </w:pPr>
    </w:p>
    <w:p>
      <w:pPr>
        <w:pStyle w:val="Body"/>
      </w:pPr>
      <w:r>
        <w:rPr>
          <w:rtl w:val="0"/>
          <w:lang w:val="fr-FR"/>
        </w:rPr>
        <w:t>{/distribution}</w:t>
      </w:r>
    </w:p>
    <w:p>
      <w:pPr>
        <w:pStyle w:val="Body"/>
      </w:pPr>
    </w:p>
    <w:p>
      <w:pPr>
        <w:pStyle w:val="Body"/>
        <w:numPr>
          <w:ilvl w:val="0"/>
          <w:numId w:val="9"/>
        </w:numPr>
        <w:bidi w:val="0"/>
        <w:spacing w:before="71" w:line="302" w:lineRule="auto"/>
        <w:ind w:right="57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Death of Beneficiary Before Final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 beneficiary dies before receiving full distribution of his or her share, the remaining balance of that beneficiary's trust shall be distributed to that beneficiary's heirs in accordance with the Islamic Law of Inheritance.</w:t>
      </w:r>
    </w:p>
    <w:p>
      <w:pPr>
        <w:pStyle w:val="Body"/>
        <w:numPr>
          <w:ilvl w:val="0"/>
          <w:numId w:val="9"/>
        </w:numPr>
        <w:bidi w:val="0"/>
        <w:spacing w:before="76" w:line="304" w:lineRule="auto"/>
        <w:ind w:right="40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Incapacitated Beneficiaries: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is incapacitated at the time distribution would otherwise occur, the Trustee may continue to hold the beneficiary's share in trust and administer it for the beneficiary's benefit until capacity is restored or until the beneficiary's death.</w:t>
      </w:r>
    </w:p>
    <w:p>
      <w:pPr>
        <w:pStyle w:val="Body"/>
        <w:numPr>
          <w:ilvl w:val="0"/>
          <w:numId w:val="18"/>
        </w:numPr>
        <w:bidi w:val="0"/>
        <w:spacing w:before="57" w:line="316" w:lineRule="auto"/>
        <w:ind w:right="6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Powers of Appointment: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Beneficiaries shall have no power of appointment over their trust shares unless expressly provided elsewhere in this instrument.</w:t>
      </w:r>
    </w:p>
    <w:p>
      <w:pPr>
        <w:pStyle w:val="Body"/>
        <w:spacing w:before="116"/>
        <w:rPr>
          <w:sz w:val="20"/>
          <w:szCs w:val="20"/>
        </w:rPr>
      </w:pPr>
      <w:r>
        <mc:AlternateContent>
          <mc:Choice Requires="wps">
            <w:drawing xmlns:a="http://schemas.openxmlformats.org/drawingml/2006/main">
              <wp:anchor distT="0" distB="0" distL="0" distR="0" simplePos="0" relativeHeight="251670528"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8"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9" style="visibility:visible;position:absolute;margin-left:22.5pt;margin-top:17.9pt;width:531.0pt;height:1.0pt;z-index:25167052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4"/>
        </w:tabs>
        <w:spacing w:before="57" w:line="316" w:lineRule="auto"/>
        <w:ind w:right="697"/>
        <w:rPr>
          <w:outline w:val="0"/>
          <w:color w:val="030303"/>
          <w:sz w:val="27"/>
          <w:szCs w:val="27"/>
          <w:u w:color="030303"/>
          <w14:textFill>
            <w14:solidFill>
              <w14:srgbClr w14:val="030303"/>
            </w14:solidFill>
          </w14:textFill>
        </w:rPr>
      </w:pPr>
    </w:p>
    <w:p>
      <w:pPr>
        <w:pStyle w:val="heading 6"/>
        <w:spacing w:before="63"/>
        <w:ind w:firstLine="363"/>
      </w:pPr>
      <w:r>
        <w:rPr>
          <w:outline w:val="0"/>
          <w:color w:val="030303"/>
          <w:u w:color="030303"/>
          <w:rtl w:val="0"/>
          <w:lang w:val="en-US"/>
          <w14:textFill>
            <w14:solidFill>
              <w14:srgbClr w14:val="030303"/>
            </w14:solidFill>
          </w14:textFill>
        </w:rPr>
        <w:t>ARTICLE FOURTEEN</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Retirement Plans and Life Insurance</w:t>
      </w:r>
    </w:p>
    <w:p>
      <w:pPr>
        <w:pStyle w:val="Body"/>
        <w:numPr>
          <w:ilvl w:val="0"/>
          <w:numId w:val="21"/>
        </w:numPr>
        <w:bidi w:val="0"/>
        <w:spacing w:before="215" w:line="300" w:lineRule="auto"/>
        <w:ind w:right="80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Plans: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Article applies to any qualified retirement plan, IRA, annuity, or similar tax-favored account payable to this Trust. The Trustee may:</w:t>
      </w:r>
    </w:p>
    <w:p>
      <w:pPr>
        <w:pStyle w:val="Body"/>
        <w:numPr>
          <w:ilvl w:val="1"/>
          <w:numId w:val="21"/>
        </w:numPr>
        <w:bidi w:val="0"/>
        <w:spacing w:before="6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Collect all retirement benefits payable to the Trust;</w:t>
      </w:r>
    </w:p>
    <w:p>
      <w:pPr>
        <w:pStyle w:val="Body"/>
        <w:numPr>
          <w:ilvl w:val="1"/>
          <w:numId w:val="63"/>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Make any elections permitted under applicable law;</w:t>
      </w:r>
    </w:p>
    <w:p>
      <w:pPr>
        <w:pStyle w:val="Body"/>
        <w:numPr>
          <w:ilvl w:val="1"/>
          <w:numId w:val="63"/>
        </w:numPr>
        <w:bidi w:val="0"/>
        <w:spacing w:before="141" w:line="312" w:lineRule="auto"/>
        <w:ind w:right="413"/>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Determine the timing and manner of distributions consistent with required minimum distribution rules; and</w:t>
      </w:r>
    </w:p>
    <w:p>
      <w:pPr>
        <w:pStyle w:val="Body"/>
        <w:numPr>
          <w:ilvl w:val="1"/>
          <w:numId w:val="64"/>
        </w:numPr>
        <w:bidi w:val="0"/>
        <w:spacing w:before="48"/>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Make a qualified disclaimer of retirement benefits if advisable.</w:t>
      </w:r>
    </w:p>
    <w:p>
      <w:pPr>
        <w:pStyle w:val="Body"/>
        <w:spacing w:before="142" w:line="306"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not change or designate beneficiaries under any retirement plan. The Trustee shall administer retirement benefits in compliance with applicable federal law, including Internal Revenue Code Section 401(a)(9) and any successor provisions. The Trustee shall not be liable to any beneficiary for good-faith decisions regarding retirement distribution elections.</w:t>
      </w:r>
    </w:p>
    <w:p>
      <w:pPr>
        <w:pStyle w:val="Body"/>
        <w:numPr>
          <w:ilvl w:val="0"/>
          <w:numId w:val="65"/>
        </w:numPr>
        <w:bidi w:val="0"/>
        <w:spacing w:before="70" w:line="300" w:lineRule="auto"/>
        <w:ind w:right="43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Benefits Payable to the Surviving Spouse: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retirement benefits become payable to the Survivor's Trust and the surviving spouse is entitled to receive them directly under applicable law, the Trustee shall, upon request of the surviving spouse, facilitate:</w:t>
      </w:r>
    </w:p>
    <w:p>
      <w:pPr>
        <w:pStyle w:val="Body"/>
        <w:numPr>
          <w:ilvl w:val="1"/>
          <w:numId w:val="65"/>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Direct distribution to the surviving spouse; or</w:t>
      </w:r>
    </w:p>
    <w:p>
      <w:pPr>
        <w:pStyle w:val="Body"/>
        <w:numPr>
          <w:ilvl w:val="1"/>
          <w:numId w:val="66"/>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Direct rollover into an account in the surviving spouse's name,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permitted by law.</w:t>
      </w:r>
    </w:p>
    <w:p>
      <w:pPr>
        <w:pStyle w:val="Body"/>
        <w:numPr>
          <w:ilvl w:val="0"/>
          <w:numId w:val="52"/>
        </w:numPr>
        <w:bidi w:val="0"/>
        <w:spacing w:before="214" w:line="300" w:lineRule="auto"/>
        <w:ind w:right="120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Life Insurance: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lifetime, each Grantor retains all ownership rights in any life insurance policy owned by or payable to the Trust, including:</w:t>
      </w:r>
    </w:p>
    <w:p>
      <w:pPr>
        <w:pStyle w:val="Body"/>
        <w:numPr>
          <w:ilvl w:val="1"/>
          <w:numId w:val="52"/>
        </w:numPr>
        <w:bidi w:val="0"/>
        <w:spacing w:before="6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change beneficiaries;</w:t>
      </w:r>
    </w:p>
    <w:p>
      <w:pPr>
        <w:pStyle w:val="Body"/>
        <w:numPr>
          <w:ilvl w:val="1"/>
          <w:numId w:val="52"/>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borrow against or surrender the policy; and</w:t>
      </w:r>
    </w:p>
    <w:p>
      <w:pPr>
        <w:pStyle w:val="Body"/>
        <w:numPr>
          <w:ilvl w:val="1"/>
          <w:numId w:val="5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make elections under the policy.</w:t>
      </w:r>
    </w:p>
    <w:p>
      <w:pPr>
        <w:pStyle w:val="Body"/>
        <w:spacing w:before="156" w:line="304" w:lineRule="auto"/>
        <w:ind w:left="962" w:right="362" w:hanging="4"/>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has no duty to pay premiums. After a Grantor's death, the Trustee may collect all policy proceeds and exercise settlement options permitted under the policy. No beneficiary may hold the Trustee liable for any good-faith election made regarding policy proceeds.</w:t>
      </w:r>
    </w:p>
    <w:p>
      <w:pPr>
        <w:pStyle w:val="Body"/>
        <w:numPr>
          <w:ilvl w:val="0"/>
          <w:numId w:val="67"/>
        </w:numPr>
        <w:bidi w:val="0"/>
        <w:spacing w:before="62" w:line="306" w:lineRule="auto"/>
        <w:ind w:right="39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Third-Party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or entity paying benefits to the Trustee in good faith shall not be required to inquire into the Trustee's authority or the application of proceeds. A receipt signed by the Trustee shall fully discharge the payor.</w:t>
      </w:r>
    </w:p>
    <w:p>
      <w:pPr>
        <w:pStyle w:val="Body"/>
        <w:numPr>
          <w:ilvl w:val="0"/>
          <w:numId w:val="47"/>
        </w:numPr>
        <w:bidi w:val="0"/>
        <w:spacing w:before="52" w:line="312" w:lineRule="auto"/>
        <w:ind w:right="8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Obligation to Maintain Policies: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Nothing in this Trust requires either Grantor or the Trustee to purchase, maintain, or continue any retirement plan or life insurance policy.</w:t>
      </w:r>
    </w:p>
    <w:p>
      <w:pPr>
        <w:pStyle w:val="Body"/>
        <w:spacing w:before="116"/>
        <w:rPr>
          <w:sz w:val="20"/>
          <w:szCs w:val="20"/>
        </w:rPr>
      </w:pPr>
      <w:r>
        <mc:AlternateContent>
          <mc:Choice Requires="wps">
            <w:drawing xmlns:a="http://schemas.openxmlformats.org/drawingml/2006/main">
              <wp:anchor distT="0" distB="0" distL="0" distR="0" simplePos="0" relativeHeight="251671552"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9"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40" style="visibility:visible;position:absolute;margin-left:22.5pt;margin-top:17.9pt;width:531.0pt;height:1.0pt;z-index:25167155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290"/>
        <w:rPr>
          <w:sz w:val="26"/>
          <w:szCs w:val="26"/>
        </w:rPr>
      </w:pPr>
    </w:p>
    <w:p>
      <w:pPr>
        <w:pStyle w:val="heading 6"/>
        <w:ind w:firstLine="363"/>
        <w:rPr>
          <w:outline w:val="0"/>
          <w:color w:val="030303"/>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FIFTEEN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Trust Administration and Trustee Powers</w:t>
      </w:r>
    </w:p>
    <w:p>
      <w:pPr>
        <w:pStyle w:val="Body"/>
        <w:numPr>
          <w:ilvl w:val="0"/>
          <w:numId w:val="38"/>
        </w:numPr>
        <w:bidi w:val="0"/>
        <w:spacing w:before="216" w:line="304" w:lineRule="auto"/>
        <w:ind w:right="3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Governing Law: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governed by the laws of the State of Texas, except to the extent mandatory law provides otherwise.</w:t>
      </w:r>
    </w:p>
    <w:p>
      <w:pPr>
        <w:pStyle w:val="Body"/>
        <w:numPr>
          <w:ilvl w:val="0"/>
          <w:numId w:val="47"/>
        </w:numPr>
        <w:bidi w:val="0"/>
        <w:spacing w:before="52" w:line="316" w:lineRule="auto"/>
        <w:ind w:right="112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Court Supervision; Bond Waiver: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administered without court supervision unless required by law. No Trustee shall be required to post bond.</w:t>
      </w:r>
    </w:p>
    <w:p>
      <w:pPr>
        <w:pStyle w:val="Body"/>
        <w:numPr>
          <w:ilvl w:val="0"/>
          <w:numId w:val="47"/>
        </w:numPr>
        <w:bidi w:val="0"/>
        <w:spacing w:before="36" w:line="306" w:lineRule="auto"/>
        <w:ind w:right="5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Distribution Authority: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Whenever the Trustee is authorized to make a distribution, the Trustee may distribute property directly to the beneficiary or apply it for the beneficiary's benefit. The Trustee has no duty to monitor the beneficiary's use of distributed property.</w:t>
      </w:r>
    </w:p>
    <w:p>
      <w:pPr>
        <w:pStyle w:val="Body"/>
        <w:numPr>
          <w:ilvl w:val="0"/>
          <w:numId w:val="44"/>
        </w:numPr>
        <w:bidi w:val="0"/>
        <w:spacing w:before="57" w:line="306" w:lineRule="auto"/>
        <w:ind w:right="10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Reliance on Information: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in good faith on written information provided by beneficiaries, advisors, or third parties and shall not be liable for acting or failing to act without notice of relevant events.</w:t>
      </w:r>
    </w:p>
    <w:p>
      <w:pPr>
        <w:pStyle w:val="Body"/>
        <w:numPr>
          <w:ilvl w:val="0"/>
          <w:numId w:val="68"/>
        </w:numPr>
        <w:bidi w:val="0"/>
        <w:spacing w:before="67" w:line="304" w:lineRule="auto"/>
        <w:ind w:right="144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Delegation: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delegate investment, administrative, or professional functions to qualified agents and may rely on such agents in good faith.</w:t>
      </w:r>
    </w:p>
    <w:p>
      <w:pPr>
        <w:pStyle w:val="Body"/>
        <w:numPr>
          <w:ilvl w:val="0"/>
          <w:numId w:val="67"/>
        </w:numPr>
        <w:bidi w:val="0"/>
        <w:spacing w:before="67" w:line="302" w:lineRule="auto"/>
        <w:ind w:right="71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Trustee shall be liable for any act or omission taken in good faith and without willful misconduct. Successor Trustees are not liable for the acts of prior Trustees.</w:t>
      </w:r>
    </w:p>
    <w:p>
      <w:pPr>
        <w:pStyle w:val="Body"/>
        <w:numPr>
          <w:ilvl w:val="0"/>
          <w:numId w:val="69"/>
        </w:numPr>
        <w:bidi w:val="0"/>
        <w:spacing w:before="76" w:line="300" w:lineRule="auto"/>
        <w:ind w:right="88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Self-Dealing: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 Trustee who is also a beneficiary may engage in transactions involving trust property only </w:t>
      </w:r>
      <w:r>
        <w:rPr>
          <w:rFonts w:ascii="Arial" w:hAnsi="Arial"/>
          <w:caps w:val="0"/>
          <w:smallCaps w:val="0"/>
          <w:strike w:val="0"/>
          <w:dstrike w:val="0"/>
          <w:outline w:val="0"/>
          <w:color w:val="030303"/>
          <w:sz w:val="24"/>
          <w:szCs w:val="24"/>
          <w:u w:val="none" w:color="030303"/>
          <w:shd w:val="nil" w:color="auto" w:fill="auto"/>
          <w:vertAlign w:val="baseline"/>
          <w:rtl w:val="0"/>
          <w:lang w:val="de-DE"/>
          <w14:textFill>
            <w14:solidFill>
              <w14:srgbClr w14:val="030303"/>
            </w14:solidFill>
          </w14:textFill>
        </w:rPr>
        <w:t>if:</w:t>
      </w:r>
    </w:p>
    <w:p>
      <w:pPr>
        <w:pStyle w:val="Body"/>
        <w:numPr>
          <w:ilvl w:val="1"/>
          <w:numId w:val="69"/>
        </w:numPr>
        <w:bidi w:val="0"/>
        <w:spacing w:before="79"/>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transaction is for fair market value;</w:t>
      </w:r>
    </w:p>
    <w:p>
      <w:pPr>
        <w:pStyle w:val="Body"/>
        <w:numPr>
          <w:ilvl w:val="1"/>
          <w:numId w:val="69"/>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terms are commercially reasonable; and</w:t>
      </w:r>
    </w:p>
    <w:p>
      <w:pPr>
        <w:pStyle w:val="Body"/>
        <w:numPr>
          <w:ilvl w:val="1"/>
          <w:numId w:val="70"/>
        </w:numPr>
        <w:bidi w:val="0"/>
        <w:spacing w:before="137" w:line="360" w:lineRule="auto"/>
        <w:ind w:right="442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All other adult beneficiaries consent in writing. All duties of loyalty and impartiality remain applicable.</w:t>
      </w:r>
    </w:p>
    <w:p>
      <w:pPr>
        <w:pStyle w:val="Body"/>
        <w:numPr>
          <w:ilvl w:val="0"/>
          <w:numId w:val="71"/>
        </w:numPr>
        <w:bidi w:val="0"/>
        <w:spacing w:line="312" w:lineRule="auto"/>
        <w:ind w:right="43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Compensation: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Trustee other than a Grantor is entitled to reasonable compensation and reimbursement for reasonable expenses.</w:t>
      </w:r>
    </w:p>
    <w:p>
      <w:pPr>
        <w:pStyle w:val="Body"/>
        <w:numPr>
          <w:ilvl w:val="0"/>
          <w:numId w:val="11"/>
        </w:numPr>
        <w:bidi w:val="0"/>
        <w:spacing w:before="34" w:line="300" w:lineRule="auto"/>
        <w:ind w:right="15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Principal and Income: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Texas Uniform Principal and Income Act shall govern allocations between principal and income unless otherwise provided</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18"/>
        </w:numPr>
        <w:bidi w:val="0"/>
        <w:spacing w:before="80"/>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Authority to Merge, Sever, or Terminate: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w:t>
      </w:r>
    </w:p>
    <w:p>
      <w:pPr>
        <w:pStyle w:val="Body"/>
        <w:numPr>
          <w:ilvl w:val="1"/>
          <w:numId w:val="7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Merge trusts with substantially identical terms;</w:t>
      </w:r>
    </w:p>
    <w:p>
      <w:pPr>
        <w:pStyle w:val="Body"/>
        <w:numPr>
          <w:ilvl w:val="1"/>
          <w:numId w:val="73"/>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Sever trusts into separate shares; and</w:t>
      </w:r>
    </w:p>
    <w:p>
      <w:pPr>
        <w:pStyle w:val="Body"/>
        <w:numPr>
          <w:ilvl w:val="1"/>
          <w:numId w:val="74"/>
        </w:numPr>
        <w:bidi w:val="0"/>
        <w:spacing w:before="141" w:line="300" w:lineRule="auto"/>
        <w:ind w:right="763"/>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Terminate any trust that is uneconomical to administer and distribute assets to the beneficiary entitled to receive them.</w:t>
      </w:r>
    </w:p>
    <w:p>
      <w:pPr>
        <w:pStyle w:val="Body"/>
        <w:numPr>
          <w:ilvl w:val="0"/>
          <w:numId w:val="13"/>
        </w:numPr>
        <w:bidi w:val="0"/>
        <w:spacing w:before="62" w:line="306" w:lineRule="auto"/>
        <w:ind w:right="53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Reports: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neither Grantor is serving as Trustee, the Trustee shall provide annual written reports to the primary beneficiary unless waived in writing. Delivery of a fiduciary income tax return satisfies this requirement.</w:t>
      </w:r>
    </w:p>
    <w:p>
      <w:pPr>
        <w:pStyle w:val="Body"/>
        <w:numPr>
          <w:ilvl w:val="0"/>
          <w:numId w:val="9"/>
        </w:numPr>
        <w:bidi w:val="0"/>
        <w:spacing w:before="53" w:line="312" w:lineRule="auto"/>
        <w:ind w:right="65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Statutory Powers: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have all powers granted under the Texas Trust Code and any successor statutes.</w:t>
      </w:r>
    </w:p>
    <w:p>
      <w:pPr>
        <w:pStyle w:val="heading 5"/>
        <w:ind w:firstLine="363"/>
        <w:rPr>
          <w:outline w:val="0"/>
          <w:color w:val="030303"/>
          <w:u w:color="030303"/>
          <w14:textFill>
            <w14:solidFill>
              <w14:srgbClr w14:val="030303"/>
            </w14:solidFill>
          </w14:textFill>
        </w:rPr>
      </w:pPr>
    </w:p>
    <w:p>
      <w:pPr>
        <w:pStyle w:val="Body"/>
        <w:spacing w:before="116"/>
        <w:rPr>
          <w:sz w:val="20"/>
          <w:szCs w:val="20"/>
        </w:rPr>
      </w:pPr>
      <w:r>
        <mc:AlternateContent>
          <mc:Choice Requires="wps">
            <w:drawing xmlns:a="http://schemas.openxmlformats.org/drawingml/2006/main">
              <wp:anchor distT="0" distB="0" distL="0" distR="0" simplePos="0" relativeHeight="251672576"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40"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41" style="visibility:visible;position:absolute;margin-left:22.5pt;margin-top:17.9pt;width:531.0pt;height:1.0pt;z-index:25167257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5"/>
        <w:ind w:left="0" w:firstLine="0"/>
        <w:rPr>
          <w:outline w:val="0"/>
          <w:color w:val="030303"/>
          <w:u w:color="030303"/>
          <w14:textFill>
            <w14:solidFill>
              <w14:srgbClr w14:val="030303"/>
            </w14:solidFill>
          </w14:textFill>
        </w:rPr>
      </w:pPr>
    </w:p>
    <w:p>
      <w:pPr>
        <w:pStyle w:val="heading 5"/>
        <w:ind w:firstLine="363"/>
        <w:rPr>
          <w:outline w:val="0"/>
          <w:color w:val="030303"/>
          <w:u w:color="030303"/>
          <w14:textFill>
            <w14:solidFill>
              <w14:srgbClr w14:val="030303"/>
            </w14:solidFill>
          </w14:textFill>
        </w:rPr>
      </w:pPr>
    </w:p>
    <w:p>
      <w:pPr>
        <w:pStyle w:val="heading 5"/>
        <w:ind w:firstLine="363"/>
      </w:pPr>
      <w:r>
        <w:rPr>
          <w:outline w:val="0"/>
          <w:color w:val="030303"/>
          <w:u w:color="030303"/>
          <w:rtl w:val="0"/>
          <w:lang w:val="en-US"/>
          <w14:textFill>
            <w14:solidFill>
              <w14:srgbClr w14:val="030303"/>
            </w14:solidFill>
          </w14:textFill>
        </w:rPr>
        <w:t>ARTICLE SIXTEEN</w:t>
      </w:r>
    </w:p>
    <w:p>
      <w:pPr>
        <w:pStyle w:val="Body"/>
        <w:spacing w:before="1"/>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General Provisions</w:t>
      </w:r>
    </w:p>
    <w:p>
      <w:pPr>
        <w:pStyle w:val="Body"/>
        <w:numPr>
          <w:ilvl w:val="0"/>
          <w:numId w:val="9"/>
        </w:numPr>
        <w:bidi w:val="0"/>
        <w:spacing w:before="215" w:line="306" w:lineRule="auto"/>
        <w:ind w:right="89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Spendthrift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beneficiary may assign, anticipate, encumber, alienate, or otherwise voluntarily transfer any interest in income or principal held in trust. No such interest is subject to attachment, garnishment, bankruptcy proceedings, or other legal process before actual receipt by the beneficiary. This provision does not restrict a beneficiary's right to disclaim an interest.</w:t>
      </w:r>
    </w:p>
    <w:p>
      <w:pPr>
        <w:pStyle w:val="Body"/>
        <w:numPr>
          <w:ilvl w:val="0"/>
          <w:numId w:val="47"/>
        </w:numPr>
        <w:bidi w:val="0"/>
        <w:spacing w:before="56" w:line="306" w:lineRule="auto"/>
        <w:ind w:right="362"/>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No-Contest: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contests the validity of this Trust or any amendment, or seeks to set aside any material provision of this Trust, that person shall forfeit any interest otherwise provided to that person under this Trust, and shall be treated as having predeceased the Grantor whose property is being administered, to the extent permitted by Texas law.</w:t>
      </w:r>
    </w:p>
    <w:p>
      <w:pPr>
        <w:pStyle w:val="Body"/>
        <w:numPr>
          <w:ilvl w:val="0"/>
          <w:numId w:val="75"/>
        </w:numPr>
        <w:bidi w:val="0"/>
        <w:spacing w:before="63" w:line="306" w:lineRule="auto"/>
        <w:ind w:right="61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Simultaneous Death; Survivorship Presumption: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order of deaths of the Grantors cannot be established, each Grantor shall be deemed to have predeceased the other for purposes of administering that Grantor's distributable estate under this Trust. Each Grantor's property shall be administered and distributed under Articles Nine through Thirteen as though the other Grantor did not survive. For any other beneficiary, a beneficiary must survive the Grantor by 30 days to be treated as surviving for purposes of determining entitlement to any distribution under this Trust.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fails to survive the Grantor by thirty (30) days, that beneficiary shall be deemed to have predeceased the Grantor, and the beneficiary's share shall be distributed as though the beneficiary had not survived, subject to the recalculation provisions of Article Twelve where applicable.</w:t>
      </w:r>
    </w:p>
    <w:p>
      <w:pPr>
        <w:pStyle w:val="Body"/>
        <w:numPr>
          <w:ilvl w:val="0"/>
          <w:numId w:val="44"/>
        </w:numPr>
        <w:bidi w:val="0"/>
        <w:spacing w:before="40" w:line="306" w:lineRule="auto"/>
        <w:ind w:right="79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Effect of Legal Separation or Divorce Filing: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either Grantor files a petition for legal separation, annulment, or dissolution of marriage, then-unless and until the petition is dismissed-any provision of this Trust treating the other Grantor as a beneficiary or fiduciary shall be treated as revoked as to that other Grantor, to the extent permitted by Texas law.</w:t>
      </w:r>
    </w:p>
    <w:p>
      <w:pPr>
        <w:pStyle w:val="Body"/>
        <w:numPr>
          <w:ilvl w:val="0"/>
          <w:numId w:val="10"/>
        </w:numPr>
        <w:bidi w:val="0"/>
        <w:spacing w:before="77" w:line="304" w:lineRule="auto"/>
        <w:ind w:right="567"/>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Anti-Lapse Statutes Waived: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anti-lapse statute of Texas or any other jurisdiction shall apply to alter the disposition of property under this Trust.</w:t>
      </w:r>
    </w:p>
    <w:p>
      <w:pPr>
        <w:pStyle w:val="Body"/>
        <w:numPr>
          <w:ilvl w:val="0"/>
          <w:numId w:val="35"/>
        </w:numPr>
        <w:bidi w:val="0"/>
        <w:spacing w:before="67" w:line="306" w:lineRule="auto"/>
        <w:ind w:right="4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Governing Law; Situs; Venue: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governed by Texas law (excluding conflict-of-law rules), except to the extent mandatory law applies. The Trustee may change the situs of administration of the Trust to another jurisdiction if the Trustee determines in good faith that doing so is in the best interests of the beneficiaries or is reasonably necessary for efficient administration. Any such change shall not alter the substantive distribution provisions of Articles Ten through Thirteen. Unless otherwise required by mandatory law, venue for any proceeding concerning this Trust shall be in the county in Texas where the Trust is then principally administered.</w:t>
      </w:r>
    </w:p>
    <w:p>
      <w:pPr>
        <w:pStyle w:val="Body"/>
        <w:numPr>
          <w:ilvl w:val="0"/>
          <w:numId w:val="76"/>
        </w:numPr>
        <w:bidi w:val="0"/>
        <w:spacing w:before="55" w:line="300" w:lineRule="auto"/>
        <w:ind w:right="64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Severability: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any provision of this Trust is held invalid or unenforceable, the remaining provisions shall be enforced to the fullest extent permitted by law.</w:t>
      </w:r>
    </w:p>
    <w:p>
      <w:pPr>
        <w:pStyle w:val="Body"/>
        <w:numPr>
          <w:ilvl w:val="0"/>
          <w:numId w:val="47"/>
        </w:numPr>
        <w:bidi w:val="0"/>
        <w:spacing w:before="75" w:line="306" w:lineRule="auto"/>
        <w:ind w:right="750"/>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Digital Assets: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is authorized to access, manage, control, delete, and transfer any digital assets of a Grantor or of this Trust to the extent permitted by Texas law, including the Texas Revised Uniform Fiduciary Access to Digital Assets Act (or any successor statute), and may take reasonable steps to obtain information, passwords, account access, and electronic records necessary for trust administration.</w:t>
      </w:r>
    </w:p>
    <w:p>
      <w:pPr>
        <w:pStyle w:val="Body"/>
        <w:numPr>
          <w:ilvl w:val="0"/>
          <w:numId w:val="77"/>
        </w:numPr>
        <w:bidi w:val="0"/>
        <w:spacing w:before="60"/>
        <w:ind w:right="0"/>
        <w:jc w:val="left"/>
        <w:rPr>
          <w:outline w:val="0"/>
          <w:color w:val="030303"/>
          <w:sz w:val="26"/>
          <w:szCs w:val="26"/>
          <w:rtl w:val="0"/>
          <w:lang w:val="fr-FR"/>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fr-FR"/>
          <w14:textFill>
            <w14:solidFill>
              <w14:srgbClr w14:val="030303"/>
            </w14:solidFill>
          </w14:textFill>
        </w:rPr>
        <w:t xml:space="preserve">Definitions: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For the purposes of this Trust:</w:t>
      </w:r>
    </w:p>
    <w:p>
      <w:pPr>
        <w:pStyle w:val="Body"/>
        <w:numPr>
          <w:ilvl w:val="1"/>
          <w:numId w:val="77"/>
        </w:numPr>
        <w:bidi w:val="0"/>
        <w:spacing w:before="136"/>
        <w:ind w:right="0"/>
        <w:jc w:val="left"/>
        <w:rPr>
          <w:outline w:val="0"/>
          <w:color w:val="030303"/>
          <w:sz w:val="26"/>
          <w:szCs w:val="26"/>
          <w:rtl w:val="0"/>
          <w:lang w:val="pt-PT"/>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pt-PT"/>
          <w14:textFill>
            <w14:solidFill>
              <w14:srgbClr w14:val="030303"/>
            </w14:solidFill>
          </w14:textFill>
        </w:rPr>
        <w:t xml:space="preserve">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means a maker of this Trust (also called settlor or trustor).</w:t>
      </w:r>
    </w:p>
    <w:p>
      <w:pPr>
        <w:pStyle w:val="Body"/>
        <w:numPr>
          <w:ilvl w:val="1"/>
          <w:numId w:val="77"/>
        </w:numPr>
        <w:bidi w:val="0"/>
        <w:spacing w:before="156"/>
        <w:ind w:right="0"/>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has the meaning and determination method stated in Article Eight.</w:t>
      </w:r>
    </w:p>
    <w:p>
      <w:pPr>
        <w:pStyle w:val="Body"/>
        <w:numPr>
          <w:ilvl w:val="1"/>
          <w:numId w:val="78"/>
        </w:numPr>
        <w:bidi w:val="0"/>
        <w:spacing w:before="141" w:line="306" w:lineRule="auto"/>
        <w:ind w:right="359"/>
        <w:jc w:val="both"/>
        <w:rPr>
          <w:outline w:val="0"/>
          <w:color w:val="030303"/>
          <w:sz w:val="26"/>
          <w:szCs w:val="26"/>
          <w:rtl w:val="0"/>
          <w:lang w:val="it-IT"/>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 xml:space="preserve">Legal Representative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means a guardian, conservator, executor, administrator, trustee, attorney-in-fact, or other lawful representative of a person or the person's estate. For a minor beneficiary, a parent or custodial adult may act as Legal Representative.</w:t>
      </w:r>
    </w:p>
    <w:p>
      <w:pPr>
        <w:pStyle w:val="Body"/>
        <w:numPr>
          <w:ilvl w:val="1"/>
          <w:numId w:val="79"/>
        </w:numPr>
        <w:bidi w:val="0"/>
        <w:spacing w:before="53" w:line="312" w:lineRule="auto"/>
        <w:ind w:right="445"/>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Islamic Law </w:t>
      </w:r>
      <w:r>
        <w:rPr>
          <w:b w:val="1"/>
          <w:bCs w:val="1"/>
          <w:outline w:val="0"/>
          <w:color w:val="030303"/>
          <w:sz w:val="26"/>
          <w:szCs w:val="26"/>
          <w:u w:color="030303"/>
          <w:rtl w:val="0"/>
          <w:lang w:val="en-US"/>
          <w14:textFill>
            <w14:solidFill>
              <w14:srgbClr w14:val="030303"/>
            </w14:solidFill>
          </w14:textFill>
        </w:rPr>
        <w:t>of inheritance</w:t>
      </w: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means the </w:t>
      </w:r>
      <w:r>
        <w:rPr>
          <w:rFonts w:ascii="Arial" w:hAnsi="Arial"/>
          <w:i w:val="1"/>
          <w:iCs w:val="1"/>
          <w:caps w:val="0"/>
          <w:smallCaps w:val="0"/>
          <w:strike w:val="0"/>
          <w:dstrike w:val="0"/>
          <w:outline w:val="0"/>
          <w:color w:val="030303"/>
          <w:sz w:val="25"/>
          <w:szCs w:val="25"/>
          <w:u w:val="none" w:color="030303"/>
          <w:shd w:val="nil" w:color="auto" w:fill="auto"/>
          <w:vertAlign w:val="baseline"/>
          <w:rtl w:val="0"/>
          <w14:textFill>
            <w14:solidFill>
              <w14:srgbClr w14:val="030303"/>
            </w14:solidFill>
          </w14:textFill>
        </w:rPr>
        <w:t xml:space="preserve">fara'id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rules implemented through Article Twelve, including the recalculation requirement at death described in Article Twelve.</w:t>
      </w:r>
    </w:p>
    <w:p>
      <w:pPr>
        <w:pStyle w:val="Body"/>
        <w:numPr>
          <w:ilvl w:val="0"/>
          <w:numId w:val="75"/>
        </w:numPr>
        <w:bidi w:val="0"/>
        <w:spacing w:before="110" w:line="306" w:lineRule="auto"/>
        <w:ind w:right="493"/>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Notices; Reliance: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notice required or permitted under this Trust must be in writing. A Trustee may rely in good faith on any signed writing, certification, or other documentation that reasonably appears authentic.</w:t>
      </w:r>
    </w:p>
    <w:p>
      <w:pPr>
        <w:pStyle w:val="Body"/>
        <w:spacing w:before="205"/>
        <w:ind w:left="364" w:firstLine="0"/>
      </w:pPr>
      <w:r>
        <w:rPr>
          <w:rFonts w:ascii="Arial" w:hAnsi="Arial"/>
          <w:i w:val="1"/>
          <w:iCs w:val="1"/>
          <w:outline w:val="0"/>
          <w:color w:val="030303"/>
          <w:sz w:val="25"/>
          <w:szCs w:val="25"/>
          <w:u w:color="030303"/>
          <w:rtl w:val="0"/>
          <w:lang w:val="en-US"/>
          <w14:textFill>
            <w14:solidFill>
              <w14:srgbClr w14:val="030303"/>
            </w14:solidFill>
          </w14:textFill>
        </w:rPr>
        <w:t>(The remainder of this page is left intentionally blank.)</w:t>
      </w:r>
      <w:r>
        <w:rPr>
          <w:rFonts w:ascii="Arial Unicode MS" w:cs="Arial Unicode MS" w:hAnsi="Arial Unicode MS" w:eastAsia="Arial Unicode MS"/>
          <w:b w:val="0"/>
          <w:bCs w:val="0"/>
          <w:i w:val="0"/>
          <w:iCs w:val="0"/>
        </w:rPr>
        <w:br w:type="page"/>
      </w:r>
    </w:p>
    <w:p>
      <w:pPr>
        <w:pStyle w:val="Body"/>
        <w:spacing w:before="205"/>
        <w:ind w:left="364" w:firstLine="0"/>
        <w:rPr>
          <w:rFonts w:ascii="Arial" w:cs="Arial" w:hAnsi="Arial" w:eastAsia="Arial"/>
          <w:i w:val="1"/>
          <w:iCs w:val="1"/>
          <w:outline w:val="0"/>
          <w:color w:val="030303"/>
          <w:sz w:val="25"/>
          <w:szCs w:val="25"/>
          <w:u w:color="030303"/>
          <w14:textFill>
            <w14:solidFill>
              <w14:srgbClr w14:val="030303"/>
            </w14:solidFill>
          </w14:textFill>
        </w:rPr>
      </w:pPr>
    </w:p>
    <w:p>
      <w:pPr>
        <w:pStyle w:val="Body"/>
        <w:tabs>
          <w:tab w:val="left" w:pos="8947"/>
        </w:tabs>
        <w:ind w:lef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have executed this trust on the following date: {</w:t>
      </w:r>
      <w:r>
        <w:rPr>
          <w:i w:val="1"/>
          <w:iCs w:val="1"/>
          <w:outline w:val="0"/>
          <w:color w:val="030303"/>
          <w:sz w:val="26"/>
          <w:szCs w:val="26"/>
          <w:u w:color="030303"/>
          <w:rtl w:val="0"/>
          <w:lang w:val="nl-NL"/>
          <w14:textFill>
            <w14:solidFill>
              <w14:srgbClr w14:val="030303"/>
            </w14:solidFill>
          </w14:textFill>
        </w:rPr>
        <w:t>trustDate</w:t>
      </w:r>
      <w:r>
        <w:rPr>
          <w:outline w:val="0"/>
          <w:color w:val="030303"/>
          <w:sz w:val="26"/>
          <w:szCs w:val="26"/>
          <w:u w:color="030303"/>
          <w:rtl w:val="0"/>
          <w14:textFill>
            <w14:solidFill>
              <w14:srgbClr w14:val="030303"/>
            </w14:solidFill>
          </w14:textFill>
        </w:rPr>
        <w:t>}</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spacing w:before="286"/>
        <w:ind w:left="357"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instrument is effective when signed by us, whether or not now signed by a Trustee.</w:t>
      </w:r>
    </w:p>
    <w:p>
      <w:pPr>
        <w:pStyle w:val="Body"/>
        <w:tabs>
          <w:tab w:val="left" w:pos="6506"/>
        </w:tabs>
        <w:spacing w:before="63" w:line="278" w:lineRule="auto"/>
        <w:ind w:left="357" w:right="1172" w:firstLine="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{husbandFullName}, Grantor and Trustee</w:t>
      </w:r>
      <w:r>
        <w:rPr>
          <w:outline w:val="0"/>
          <w:color w:val="030303"/>
          <w:sz w:val="27"/>
          <w:szCs w:val="27"/>
          <w:u w:color="030303"/>
          <w:rtl w:val="0"/>
          <w:lang w:val="en-US"/>
          <w14:textFill>
            <w14:solidFill>
              <w14:srgbClr w14:val="030303"/>
            </w14:solidFill>
          </w14:textFill>
        </w:rPr>
        <w:t xml:space="preserve"> {husbandFullName}</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Grantor and Trustee</w:t>
      </w:r>
    </w:p>
    <w:p>
      <w:pPr>
        <w:pStyle w:val="Body"/>
        <w:tabs>
          <w:tab w:val="left" w:pos="4249"/>
        </w:tabs>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STATE OF TEXAS)</w:t>
        <w:tab/>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 ss.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COUNTY OF HARRIS)</w:t>
      </w:r>
    </w:p>
    <w:p>
      <w:pPr>
        <w:pStyle w:val="Body"/>
        <w:spacing w:before="257" w:line="280" w:lineRule="auto"/>
        <w:ind w:left="357" w:right="362"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Before me, the undersigned authority, on this day personally appeared </w:t>
      </w:r>
      <w:r>
        <w:rPr>
          <w:outline w:val="0"/>
          <w:color w:val="030303"/>
          <w:sz w:val="27"/>
          <w:szCs w:val="27"/>
          <w:u w:color="030303"/>
          <w:rtl w:val="0"/>
          <w:lang w:val="en-US"/>
          <w14:textFill>
            <w14:solidFill>
              <w14:srgbClr w14:val="030303"/>
            </w14:solidFill>
          </w14:textFill>
        </w:rPr>
        <w:t>{husbandFullName}</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known to me (or proved to me by satisfactory evidence) to be the person whose name is subscribed to the foregoing instrument, and acknowledged that he executed the same for the purposes and consideration therein expressed.</w:t>
      </w:r>
    </w:p>
    <w:p>
      <w:pPr>
        <w:pStyle w:val="Body"/>
        <w:tabs>
          <w:tab w:val="left" w:pos="6219"/>
          <w:tab w:val="left" w:pos="8040"/>
        </w:tabs>
        <w:spacing w:before="186"/>
        <w:ind w:left="361" w:firstLine="0"/>
        <w:rPr>
          <w:rFonts w:ascii="Arial" w:cs="Arial" w:hAnsi="Arial" w:eastAsia="Arial"/>
          <w:b w:val="1"/>
          <w:bCs w:val="1"/>
          <w:i w:val="1"/>
          <w:iCs w:val="1"/>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Given under my hand and seal of office on this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day of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_, </w:t>
      </w:r>
      <w:r>
        <w:rPr>
          <w:rFonts w:ascii="Arial" w:hAnsi="Arial"/>
          <w:b w:val="1"/>
          <w:bCs w:val="1"/>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20.</w:t>
      </w:r>
    </w:p>
    <w:p>
      <w:pPr>
        <w:pStyle w:val="Body"/>
        <w:ind w:left="374"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Notary Public</w:t>
      </w:r>
    </w:p>
    <w:p>
      <w:pPr>
        <w:pStyle w:val="Body"/>
        <w:tabs>
          <w:tab w:val="left" w:pos="4249"/>
        </w:tabs>
        <w:ind w:left="361"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STATE OF TEXAS)</w:t>
        <w:tab/>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 ss.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COUNTY OF HARRIS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spacing w:before="261" w:line="278" w:lineRule="auto"/>
        <w:ind w:left="357" w:right="362"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Before me, the undersigned authority, on this day personally appeared </w:t>
      </w:r>
      <w:r>
        <w:rPr>
          <w:outline w:val="0"/>
          <w:color w:val="030303"/>
          <w:sz w:val="27"/>
          <w:szCs w:val="27"/>
          <w:u w:color="030303"/>
          <w:rtl w:val="0"/>
          <w:lang w:val="en-US"/>
          <w14:textFill>
            <w14:solidFill>
              <w14:srgbClr w14:val="030303"/>
            </w14:solidFill>
          </w14:textFill>
        </w:rPr>
        <w:t xml:space="preserve">{wifeFullName},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known to me (or proved to me by satisfactory evidence) to be the person whose name is subscribed to the foregoing instrument, and acknowledged that she executed the same for the purposes and consideration therein expressed.</w:t>
      </w:r>
    </w:p>
    <w:p>
      <w:pPr>
        <w:pStyle w:val="Body"/>
        <w:tabs>
          <w:tab w:val="left" w:pos="6219"/>
          <w:tab w:val="left" w:pos="8040"/>
        </w:tabs>
        <w:spacing w:before="199"/>
        <w:ind w:left="361" w:firstLine="0"/>
        <w:rPr>
          <w:rFonts w:ascii="Arial" w:cs="Arial" w:hAnsi="Arial" w:eastAsia="Arial"/>
          <w:b w:val="1"/>
          <w:bCs w:val="1"/>
          <w:i w:val="1"/>
          <w:iCs w:val="1"/>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Given under my hand and seal of office on this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day of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_, </w:t>
      </w:r>
      <w:r>
        <w:rPr>
          <w:rFonts w:ascii="Arial" w:hAnsi="Arial"/>
          <w:b w:val="1"/>
          <w:bCs w:val="1"/>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20.</w:t>
      </w:r>
    </w:p>
    <w:p>
      <w:pPr>
        <w:pStyle w:val="Body"/>
        <w:ind w:left="369"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Notary Public</w:t>
      </w:r>
    </w:p>
    <w:p>
      <w:pPr>
        <w:pStyle w:val="Heading 2"/>
        <w:spacing w:before="1"/>
        <w:ind w:left="362" w:firstLine="0"/>
      </w:pPr>
      <w:r>
        <w:rPr>
          <w:rFonts w:ascii="Arial Unicode MS" w:cs="Arial Unicode MS" w:hAnsi="Arial Unicode MS" w:eastAsia="Arial Unicode MS"/>
          <w:b w:val="0"/>
          <w:bCs w:val="0"/>
          <w:i w:val="0"/>
          <w:iCs w:val="0"/>
        </w:rPr>
        <w:br w:type="page"/>
      </w:r>
    </w:p>
    <w:p>
      <w:pPr>
        <w:pStyle w:val="Heading 2"/>
        <w:spacing w:before="1"/>
        <w:ind w:left="362" w:firstLine="0"/>
      </w:pPr>
      <w:r>
        <w:rPr>
          <w:outline w:val="0"/>
          <w:color w:val="030303"/>
          <w:u w:color="030303"/>
          <w:rtl w:val="0"/>
          <w:lang w:val="de-DE"/>
          <w14:textFill>
            <w14:solidFill>
              <w14:srgbClr w14:val="030303"/>
            </w14:solidFill>
          </w14:textFill>
        </w:rPr>
        <w:t>SCHEDULE A</w:t>
      </w:r>
    </w:p>
    <w:p>
      <w:pPr>
        <w:pStyle w:val="heading 4"/>
        <w:ind w:firstLine="358"/>
      </w:pPr>
      <w:r>
        <w:rPr>
          <w:outline w:val="0"/>
          <w:color w:val="030303"/>
          <w:u w:color="030303"/>
          <w:rtl w:val="0"/>
          <w:lang w:val="en-US"/>
          <w14:textFill>
            <w14:solidFill>
              <w14:srgbClr w14:val="030303"/>
            </w14:solidFill>
          </w14:textFill>
        </w:rPr>
        <w:t>Property Schedule and Ownership Designation</w:t>
      </w:r>
    </w:p>
    <w:p>
      <w:pPr>
        <w:pStyle w:val="Body"/>
        <w:spacing w:before="221" w:line="278" w:lineRule="auto"/>
        <w:ind w:left="361" w:right="273" w:hanging="3"/>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Schedule assists the Trustee in the division and distribution of trust property upon death. It may be amended from time to time in handwriting by crossing out existing items or writing additional items in, provided the amending Grantor initials and dates any addition or deletion.</w:t>
      </w:r>
    </w:p>
    <w:p>
      <w:pPr>
        <w:pStyle w:val="Body"/>
        <w:spacing w:before="63" w:line="278" w:lineRule="auto"/>
        <w:ind w:left="366" w:right="1153"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path, suppress it entirely on the C-1 path with no heading, placeholder, or blank space left behind. Sections 1, 2, and 4 appear on both paths</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w:t>
      </w:r>
    </w:p>
    <w:p>
      <w:pPr>
        <w:pStyle w:val="Body"/>
        <w:tabs>
          <w:tab w:val="left" w:pos="1739"/>
        </w:tabs>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Section 1-</w:t>
        <w:tab/>
        <w:t>Husband's Separate Property</w:t>
      </w:r>
    </w:p>
    <w:p>
      <w:pPr>
        <w:pStyle w:val="Body"/>
        <w:spacing w:before="288" w:line="314" w:lineRule="auto"/>
        <w:ind w:left="369" w:hanging="18"/>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This Section lists any property owned by {husbandFullName} before marriage, or received by {husbandFullName} during marriage as a gift or inheritance from a third party.</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Approximate 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Account ID</w:t>
            </w:r>
          </w:p>
        </w:tc>
      </w:tr>
      <w:tr>
        <w:tblPrEx>
          <w:shd w:val="clear" w:color="auto" w:fill="ced7e7"/>
        </w:tblPrEx>
        <w:trPr>
          <w:trHeight w:val="49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{#husbandSeparateProperty}{assetName}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{approximateValue}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{accountId}{/husbandSeparateProperty}</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 xml:space="preserve">Section 2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Wife's Separate Property</w:t>
      </w:r>
    </w:p>
    <w:p>
      <w:pPr>
        <w:pStyle w:val="Body"/>
        <w:spacing w:before="288" w:line="314" w:lineRule="auto"/>
        <w:ind w:left="350" w:hanging="1"/>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This Section lists any property owned by {wifeFullName} before marriage, or received by {wifeFullName} during marriage as a gift or inheritance from a third party.</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Approximate 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Account ID</w:t>
            </w:r>
          </w:p>
        </w:tc>
      </w:tr>
      <w:tr>
        <w:tblPrEx>
          <w:shd w:val="clear" w:color="auto" w:fill="ced7e7"/>
        </w:tblPrEx>
        <w:trPr>
          <w:trHeight w:val="49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{#wifeSeparateProperty}{assetName}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{approximateValue}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{accountId}{/wifeSeparateProperty}</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3407"/>
          <w:tab w:val="left" w:pos="8253"/>
        </w:tabs>
        <w:ind w:left="497" w:firstLine="0"/>
        <w:rPr>
          <w:b w:val="1"/>
          <w:bCs w:val="1"/>
          <w:outline w:val="0"/>
          <w:color w:val="030303"/>
          <w:sz w:val="23"/>
          <w:szCs w:val="23"/>
          <w:u w:color="030303"/>
          <w14:textFill>
            <w14:solidFill>
              <w14:srgbClr w14:val="030303"/>
            </w14:solidFill>
          </w14:textFill>
        </w:rPr>
      </w:pPr>
    </w:p>
    <w:p>
      <w:pPr>
        <w:pStyle w:val="Body"/>
      </w:pPr>
      <w:r>
        <w:rPr>
          <w:rtl w:val="0"/>
          <w:lang w:val="it-IT"/>
        </w:rPr>
        <w:t>{#isAssetAllocation}</w:t>
      </w:r>
    </w:p>
    <w:p>
      <w:pPr>
        <w:pStyle w:val="Body"/>
        <w:spacing w:before="217"/>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 xml:space="preserve">Section 3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Asset Allocation Table</w:t>
      </w:r>
    </w:p>
    <w:p>
      <w:pPr>
        <w:pStyle w:val="Body"/>
        <w:tabs>
          <w:tab w:val="left" w:pos="9199"/>
        </w:tabs>
        <w:spacing w:before="75" w:line="304" w:lineRule="auto"/>
        <w:ind w:left="353" w:right="942"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 xml:space="preserve">This Section designates the Islamic ownership of community property assets </w:t>
      </w:r>
      <w:r>
        <w:rPr>
          <w:rFonts w:ascii="Arial" w:hAnsi="Arial"/>
          <w:outline w:val="0"/>
          <w:color w:val="030303"/>
          <w:sz w:val="24"/>
          <w:szCs w:val="24"/>
          <w:u w:color="030303"/>
          <w:rtl w:val="0"/>
          <w14:textFill>
            <w14:solidFill>
              <w14:srgbClr w14:val="030303"/>
            </w14:solidFill>
          </w14:textFill>
        </w:rPr>
        <w:t>-</w:t>
        <w:tab/>
      </w:r>
      <w:r>
        <w:rPr>
          <w:rFonts w:ascii="Arial" w:hAnsi="Arial"/>
          <w:i w:val="1"/>
          <w:iCs w:val="1"/>
          <w:outline w:val="0"/>
          <w:color w:val="030303"/>
          <w:sz w:val="24"/>
          <w:szCs w:val="24"/>
          <w:u w:color="030303"/>
          <w:rtl w:val="0"/>
          <w:lang w:val="en-US"/>
          <w14:textFill>
            <w14:solidFill>
              <w14:srgbClr w14:val="030303"/>
            </w14:solidFill>
          </w14:textFill>
        </w:rPr>
        <w:t xml:space="preserve">property acquired during the marriage and not by gift or inheritance. List each significant asset and indicate which spouse Islamically owns it. Any asset not listed here will be allocated </w:t>
      </w:r>
      <w:r>
        <w:rPr>
          <w:outline w:val="0"/>
          <w:color w:val="030303"/>
          <w:sz w:val="26"/>
          <w:szCs w:val="26"/>
          <w:u w:color="030303"/>
          <w:rtl w:val="0"/>
          <w14:textFill>
            <w14:solidFill>
              <w14:srgbClr w14:val="030303"/>
            </w14:solidFill>
          </w14:textFill>
        </w:rPr>
        <w:t xml:space="preserve">50/50 </w:t>
      </w:r>
      <w:r>
        <w:rPr>
          <w:rFonts w:ascii="Arial" w:hAnsi="Arial"/>
          <w:i w:val="1"/>
          <w:iCs w:val="1"/>
          <w:outline w:val="0"/>
          <w:color w:val="030303"/>
          <w:sz w:val="24"/>
          <w:szCs w:val="24"/>
          <w:u w:color="030303"/>
          <w:rtl w:val="0"/>
          <w:lang w:val="en-US"/>
          <w14:textFill>
            <w14:solidFill>
              <w14:srgbClr w14:val="030303"/>
            </w14:solidFill>
          </w14:textFill>
        </w:rPr>
        <w:t>by default.</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Ownership</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Account ID</w:t>
            </w:r>
          </w:p>
        </w:tc>
      </w:tr>
      <w:tr>
        <w:tblPrEx>
          <w:shd w:val="clear" w:color="auto" w:fill="ced7e7"/>
        </w:tblPrEx>
        <w:trPr>
          <w:trHeight w:val="25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{#assetAllocation}{assetName}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{approximateValue}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{accountId}{/assetAllocation}</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2926"/>
          <w:tab w:val="left" w:pos="7010"/>
        </w:tabs>
        <w:ind w:left="497" w:firstLine="0"/>
        <w:rPr>
          <w:b w:val="1"/>
          <w:bCs w:val="1"/>
          <w:outline w:val="0"/>
          <w:color w:val="030303"/>
          <w:sz w:val="24"/>
          <w:szCs w:val="24"/>
          <w:u w:color="030303"/>
          <w14:textFill>
            <w14:solidFill>
              <w14:srgbClr w14:val="030303"/>
            </w14:solidFill>
          </w14:textFill>
        </w:rPr>
      </w:pPr>
    </w:p>
    <w:p>
      <w:pPr>
        <w:pStyle w:val="Body"/>
        <w:spacing w:line="300" w:lineRule="auto"/>
        <w:ind w:left="363"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 xml:space="preserve">Any community property asset not listed in this Section shall default to a </w:t>
      </w:r>
      <w:r>
        <w:rPr>
          <w:outline w:val="0"/>
          <w:color w:val="030303"/>
          <w:sz w:val="26"/>
          <w:szCs w:val="26"/>
          <w:u w:color="030303"/>
          <w:rtl w:val="0"/>
          <w14:textFill>
            <w14:solidFill>
              <w14:srgbClr w14:val="030303"/>
            </w14:solidFill>
          </w14:textFill>
        </w:rPr>
        <w:t xml:space="preserve">50/50 </w:t>
      </w:r>
      <w:r>
        <w:rPr>
          <w:rFonts w:ascii="Arial" w:hAnsi="Arial"/>
          <w:i w:val="1"/>
          <w:iCs w:val="1"/>
          <w:outline w:val="0"/>
          <w:color w:val="030303"/>
          <w:sz w:val="24"/>
          <w:szCs w:val="24"/>
          <w:u w:color="030303"/>
          <w:rtl w:val="0"/>
          <w:lang w:val="en-US"/>
          <w14:textFill>
            <w14:solidFill>
              <w14:srgbClr w14:val="030303"/>
            </w14:solidFill>
          </w14:textFill>
        </w:rPr>
        <w:t>allocation for purposes of Islamic distribution under Article Twelve.</w:t>
      </w:r>
    </w:p>
    <w:p>
      <w:pPr>
        <w:pStyle w:val="Body"/>
      </w:pPr>
      <w:r>
        <w:rPr>
          <w:rtl w:val="0"/>
          <w:lang w:val="it-IT"/>
        </w:rPr>
        <w:t>{/isAssetAllocation}</w:t>
      </w: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 xml:space="preserve">Section 4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 xml:space="preserve">-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High-Value and Titled Personal Property</w:t>
      </w:r>
    </w:p>
    <w:p>
      <w:pPr>
        <w:pStyle w:val="Body"/>
        <w:spacing w:before="293" w:line="314" w:lineRule="auto"/>
        <w:ind w:left="354" w:right="362" w:hanging="3"/>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List motor vehicles, jewelry or watches valued above $1,000, works of art, collectibles, and any other significant personal items either Grantor wishes to designate individually. Indicate Islamic ownership for each.</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11"/>
        <w:gridCol w:w="5511"/>
      </w:tblGrid>
      <w:tr>
        <w:tblPrEx>
          <w:shd w:val="clear" w:color="auto" w:fill="ced7e7"/>
        </w:tblPrEx>
        <w:trPr>
          <w:trHeight w:val="31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Asset</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Ownership</w:t>
            </w:r>
          </w:p>
        </w:tc>
      </w:tr>
      <w:tr>
        <w:tblPrEx>
          <w:shd w:val="clear" w:color="auto" w:fill="ced7e7"/>
        </w:tblPrEx>
        <w:trPr>
          <w:trHeight w:val="25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{#highValueItems}{itemDescription}</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{owner}{/highValueItems}</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4375"/>
        </w:tabs>
        <w:rPr>
          <w:b w:val="1"/>
          <w:bCs w:val="1"/>
          <w:outline w:val="0"/>
          <w:color w:val="030303"/>
          <w:sz w:val="24"/>
          <w:szCs w:val="24"/>
          <w:u w:color="030303"/>
          <w14:textFill>
            <w14:solidFill>
              <w14:srgbClr w14:val="030303"/>
            </w14:solidFill>
          </w14:textFill>
        </w:rPr>
      </w:pPr>
    </w:p>
    <w:p>
      <w:pPr>
        <w:pStyle w:val="Body"/>
        <w:tabs>
          <w:tab w:val="left" w:pos="4375"/>
        </w:tabs>
        <w:rPr>
          <w:b w:val="1"/>
          <w:bCs w:val="1"/>
          <w:outline w:val="0"/>
          <w:color w:val="030303"/>
          <w:sz w:val="24"/>
          <w:szCs w:val="24"/>
          <w:u w:color="030303"/>
          <w14:textFill>
            <w14:solidFill>
              <w14:srgbClr w14:val="030303"/>
            </w14:solidFill>
          </w14:textFill>
        </w:rPr>
      </w:pPr>
    </w:p>
    <w:p>
      <w:pPr>
        <w:pStyle w:val="Body"/>
        <w:spacing w:line="312" w:lineRule="auto"/>
        <w:ind w:left="362" w:right="497" w:hanging="1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The Grantors are encouraged to update this Section periodically as significant personal property is acquired. Documenting ownership at the time of acquisition will assist the Trustee and spare heirs from unnecessary uncertainty.</w:t>
      </w:r>
    </w:p>
    <w:p>
      <w:pPr>
        <w:pStyle w:val="Heading"/>
        <w:ind w:firstLine="362"/>
      </w:pPr>
      <w:r>
        <w:rPr>
          <w:outline w:val="0"/>
          <w:color w:val="030303"/>
          <w:u w:color="030303"/>
          <w:rtl w:val="0"/>
          <w:lang w:val="de-DE"/>
          <w14:textFill>
            <w14:solidFill>
              <w14:srgbClr w14:val="030303"/>
            </w14:solidFill>
          </w14:textFill>
        </w:rPr>
        <w:t>SCHEDULEB</w:t>
      </w:r>
    </w:p>
    <w:p>
      <w:pPr>
        <w:pStyle w:val="Heading 3"/>
        <w:tabs>
          <w:tab w:val="left" w:pos="4218"/>
        </w:tabs>
        <w:ind w:firstLine="359"/>
      </w:pPr>
      <w:r>
        <w:rPr>
          <w:outline w:val="0"/>
          <w:color w:val="030303"/>
          <w:u w:color="030303"/>
          <w:rtl w:val="0"/>
          <w:lang w:val="en-US"/>
          <w14:textFill>
            <w14:solidFill>
              <w14:srgbClr w14:val="030303"/>
            </w14:solidFill>
          </w14:textFill>
        </w:rPr>
        <w:t>Islamic Law of Inheritance -</w:t>
        <w:tab/>
        <w:t>Governing Rules</w:t>
      </w:r>
    </w:p>
    <w:p>
      <w:pPr>
        <w:pStyle w:val="Body"/>
        <w:numPr>
          <w:ilvl w:val="0"/>
          <w:numId w:val="81"/>
        </w:numPr>
        <w:bidi w:val="0"/>
        <w:spacing w:before="76"/>
        <w:ind w:right="0"/>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Hierarchy of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a Grantor, the Trustee shall:</w:t>
      </w:r>
    </w:p>
    <w:p>
      <w:pPr>
        <w:pStyle w:val="Body"/>
        <w:numPr>
          <w:ilvl w:val="1"/>
          <w:numId w:val="81"/>
        </w:numPr>
        <w:bidi w:val="0"/>
        <w:spacing w:before="141"/>
        <w:ind w:right="0"/>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Identify all heirs living at the time of death;</w:t>
      </w:r>
    </w:p>
    <w:p>
      <w:pPr>
        <w:pStyle w:val="Body"/>
        <w:numPr>
          <w:ilvl w:val="1"/>
          <w:numId w:val="82"/>
        </w:numPr>
        <w:bidi w:val="0"/>
        <w:spacing w:before="141"/>
        <w:ind w:right="0"/>
        <w:jc w:val="left"/>
        <w:rPr>
          <w:rFonts w:ascii="Arial" w:hAnsi="Arial"/>
          <w:i w:val="1"/>
          <w:iCs w:val="1"/>
          <w:sz w:val="27"/>
          <w:szCs w:val="27"/>
          <w:rtl w:val="0"/>
          <w:lang w:val="en-US"/>
        </w:rPr>
      </w:pPr>
      <w:r>
        <w:rPr>
          <w:rFonts w:ascii="Times New Roman" w:hAnsi="Times New Roman"/>
          <w:i w:val="0"/>
          <w:iCs w:val="0"/>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Allocate fixed shares to Qur'anic heirs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(Dhawil Furood);</w:t>
      </w:r>
    </w:p>
    <w:p>
      <w:pPr>
        <w:pStyle w:val="Body"/>
        <w:numPr>
          <w:ilvl w:val="1"/>
          <w:numId w:val="83"/>
        </w:numPr>
        <w:bidi w:val="0"/>
        <w:spacing w:before="156"/>
        <w:ind w:right="0"/>
        <w:jc w:val="left"/>
        <w:rPr>
          <w:rFonts w:ascii="Arial" w:hAnsi="Arial"/>
          <w:i w:val="1"/>
          <w:iCs w:val="1"/>
          <w:sz w:val="27"/>
          <w:szCs w:val="27"/>
          <w:rtl w:val="0"/>
          <w:lang w:val="en-US"/>
        </w:rPr>
      </w:pPr>
      <w:r>
        <w:rPr>
          <w:rFonts w:ascii="Times New Roman" w:hAnsi="Times New Roman"/>
          <w:i w:val="0"/>
          <w:iCs w:val="0"/>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Distribute the residue to residuary heirs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(Asabah);</w:t>
      </w:r>
    </w:p>
    <w:p>
      <w:pPr>
        <w:pStyle w:val="Body"/>
        <w:numPr>
          <w:ilvl w:val="1"/>
          <w:numId w:val="81"/>
        </w:numPr>
        <w:bidi w:val="0"/>
        <w:spacing w:before="136"/>
        <w:ind w:right="0"/>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Apply the doctrine of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Radd,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applicable under the selected school; and</w:t>
      </w:r>
    </w:p>
    <w:p>
      <w:pPr>
        <w:pStyle w:val="Body"/>
        <w:numPr>
          <w:ilvl w:val="1"/>
          <w:numId w:val="84"/>
        </w:numPr>
        <w:bidi w:val="0"/>
        <w:spacing w:before="156" w:line="304" w:lineRule="auto"/>
        <w:ind w:right="423"/>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If no Qur'anic or residuary heirs exist, distribute to distant kindred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(Dhawil Arham)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 accordance with the selected school.</w:t>
      </w:r>
    </w:p>
    <w:p>
      <w:pPr>
        <w:pStyle w:val="Body"/>
        <w:numPr>
          <w:ilvl w:val="0"/>
          <w:numId w:val="85"/>
        </w:numPr>
        <w:bidi w:val="0"/>
        <w:spacing w:before="129" w:line="304" w:lineRule="auto"/>
        <w:ind w:right="481"/>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Recalculation Requirement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All shares shall be recalculated as of the date of the Grantor's death based solely on heirs then living and eligible to inherit under Islamic law. Any heir who predeceases the Grantor shall be treated as having no share, and the distribution shall be recomputed accordingly.</w:t>
      </w:r>
    </w:p>
    <w:p>
      <w:pPr>
        <w:pStyle w:val="Body"/>
        <w:numPr>
          <w:ilvl w:val="0"/>
          <w:numId w:val="86"/>
        </w:numPr>
        <w:bidi w:val="0"/>
        <w:spacing w:before="62" w:line="306" w:lineRule="auto"/>
        <w:ind w:right="769"/>
        <w:jc w:val="both"/>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Exclusion and Blocking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Trustee shall apply the rules of exclusion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(hajb)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under the selected school of jurisprudence, including the exclusion of more remote heirs by nearer heirs.</w:t>
      </w:r>
    </w:p>
    <w:p>
      <w:pPr>
        <w:pStyle w:val="Body"/>
        <w:numPr>
          <w:ilvl w:val="0"/>
          <w:numId w:val="87"/>
        </w:numPr>
        <w:bidi w:val="0"/>
        <w:spacing w:before="52"/>
        <w:ind w:right="0"/>
        <w:jc w:val="both"/>
        <w:rPr>
          <w:sz w:val="26"/>
          <w:szCs w:val="26"/>
          <w:rtl w:val="0"/>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Trustee Reliance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in good faith upon:</w:t>
      </w:r>
    </w:p>
    <w:p>
      <w:pPr>
        <w:pStyle w:val="Body"/>
        <w:numPr>
          <w:ilvl w:val="1"/>
          <w:numId w:val="87"/>
        </w:numPr>
        <w:bidi w:val="0"/>
        <w:spacing w:before="156" w:line="300" w:lineRule="auto"/>
        <w:ind w:right="544"/>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qualified, credentialed, Sunni Muslim scholar whose qualification is recognized by at least two other scholars in the first scholar's locality;</w:t>
      </w:r>
    </w:p>
    <w:p>
      <w:pPr>
        <w:pStyle w:val="Body"/>
        <w:numPr>
          <w:ilvl w:val="1"/>
          <w:numId w:val="88"/>
        </w:numPr>
        <w:bidi w:val="0"/>
        <w:spacing w:before="79"/>
        <w:ind w:right="0"/>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recognized Islamic inheritance authority; or</w:t>
      </w:r>
    </w:p>
    <w:p>
      <w:pPr>
        <w:pStyle w:val="Body"/>
        <w:numPr>
          <w:ilvl w:val="1"/>
          <w:numId w:val="89"/>
        </w:numPr>
        <w:bidi w:val="0"/>
        <w:spacing w:before="142" w:line="300" w:lineRule="auto"/>
        <w:ind w:right="975"/>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inheritance calculation generated by the Trust's internal calculation system, provided the system reflects the selected school.</w:t>
      </w:r>
    </w:p>
    <w:p>
      <w:pPr>
        <w:pStyle w:val="Body"/>
        <w:spacing w:before="74"/>
        <w:ind w:left="958" w:firstLine="0"/>
        <w:jc w:val="both"/>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not be liable for good-faith reliance on such authority.</w:t>
      </w:r>
    </w:p>
    <w:p>
      <w:pPr>
        <w:pStyle w:val="Body"/>
      </w:pPr>
    </w:p>
    <w:p>
      <w:pPr>
        <w:pStyle w:val="Body"/>
      </w:pPr>
      <w:r>
        <w:rPr>
          <w:rFonts w:ascii="Arial Unicode MS" w:cs="Arial Unicode MS" w:hAnsi="Arial Unicode MS" w:eastAsia="Arial Unicode MS"/>
          <w:b w:val="0"/>
          <w:bCs w:val="0"/>
          <w:i w:val="0"/>
          <w:iCs w:val="0"/>
        </w:rPr>
        <w:br w:type="page"/>
      </w:r>
    </w:p>
    <w:p>
      <w:pPr>
        <w:pStyle w:val="Body"/>
      </w:pPr>
      <w:r>
        <w:rPr>
          <w:rtl w:val="0"/>
          <w:lang w:val="nl-NL"/>
        </w:rPr>
        <w:t>{#isHeba}</w:t>
      </w:r>
    </w:p>
    <w:p>
      <w:pPr>
        <w:pStyle w:val="Heading 2"/>
        <w:spacing w:before="63"/>
        <w:ind w:left="363" w:firstLine="0"/>
      </w:pPr>
      <w:r>
        <w:rPr>
          <w:outline w:val="0"/>
          <w:color w:val="030303"/>
          <w:u w:color="030303"/>
          <w:rtl w:val="0"/>
          <w14:textFill>
            <w14:solidFill>
              <w14:srgbClr w14:val="030303"/>
            </w14:solidFill>
          </w14:textFill>
        </w:rPr>
        <w:t>HEBA AGREEMENT</w:t>
      </w:r>
    </w:p>
    <w:p>
      <w:pPr>
        <w:pStyle w:val="heading 4"/>
        <w:tabs>
          <w:tab w:val="left" w:pos="3744"/>
        </w:tabs>
        <w:spacing w:before="339"/>
        <w:ind w:firstLine="358"/>
      </w:pPr>
      <w:r>
        <w:rPr>
          <w:outline w:val="0"/>
          <w:color w:val="030303"/>
          <w:u w:color="030303"/>
          <w:rtl w:val="0"/>
          <w:lang w:val="en-US"/>
          <w14:textFill>
            <w14:solidFill>
              <w14:srgbClr w14:val="030303"/>
            </w14:solidFill>
          </w14:textFill>
        </w:rPr>
        <w:t xml:space="preserve">Click-Wrap Agreement </w:t>
      </w:r>
      <w:r>
        <w:rPr>
          <w:b w:val="0"/>
          <w:bCs w:val="0"/>
          <w:outline w:val="0"/>
          <w:color w:val="030303"/>
          <w:u w:color="030303"/>
          <w:rtl w:val="0"/>
          <w:lang w:val="en-US"/>
          <w14:textFill>
            <w14:solidFill>
              <w14:srgbClr w14:val="030303"/>
            </w14:solidFill>
          </w14:textFill>
        </w:rPr>
        <w:t>-</w:t>
        <w:tab/>
      </w:r>
      <w:r>
        <w:rPr>
          <w:outline w:val="0"/>
          <w:color w:val="030303"/>
          <w:u w:color="030303"/>
          <w:rtl w:val="0"/>
          <w:lang w:val="en-US"/>
          <w14:textFill>
            <w14:solidFill>
              <w14:srgbClr w14:val="030303"/>
            </w14:solidFill>
          </w14:textFill>
        </w:rPr>
        <w:t>Mutual Lifetime Gift of Community Property</w:t>
      </w:r>
    </w:p>
    <w:p>
      <w:pPr>
        <w:pStyle w:val="Body"/>
        <w:spacing w:line="280" w:lineRule="auto"/>
        <w:ind w:left="361" w:right="727" w:hanging="1"/>
        <w:jc w:val="both"/>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checkboxes - one for each spouse - not a single shared checkbox. This agreement should be presented on its own screen, after the user has selected the 50/50 path and before payment or document generation. Do not allow the user to scroll past or skip this screen.</w:t>
      </w:r>
    </w:p>
    <w:p>
      <w:pPr>
        <w:pStyle w:val="Body"/>
        <w:spacing w:before="192" w:line="278" w:lineRule="auto"/>
        <w:ind w:left="357" w:right="384" w:firstLine="2"/>
        <w:jc w:val="both"/>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ESCAPE HATCH: Display a visible link on this screen: "I have questions about this - speak to an imam or attorney." This link should open a referral page or contact form</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Users who are uncertain should be directed to a human touchpoint rather than allowed to abandon the flow entirely.]</w:t>
      </w:r>
    </w:p>
    <w:p>
      <w:pPr>
        <w:pStyle w:val="Body"/>
        <w:spacing w:before="1"/>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Before You Proceed </w:t>
      </w:r>
      <w:r>
        <w:rPr>
          <w:outline w:val="0"/>
          <w:color w:val="030303"/>
          <w:sz w:val="26"/>
          <w:szCs w:val="26"/>
          <w:u w:color="030303"/>
          <w:rtl w:val="0"/>
          <w:lang w:val="ru-RU"/>
          <w14:textFill>
            <w14:solidFill>
              <w14:srgbClr w14:val="030303"/>
            </w14:solidFill>
          </w14:textFill>
        </w:rPr>
        <w:t xml:space="preserve">- </w:t>
      </w:r>
      <w:r>
        <w:rPr>
          <w:b w:val="1"/>
          <w:bCs w:val="1"/>
          <w:outline w:val="0"/>
          <w:color w:val="030303"/>
          <w:sz w:val="26"/>
          <w:szCs w:val="26"/>
          <w:u w:color="030303"/>
          <w:rtl w:val="0"/>
          <w:lang w:val="en-US"/>
          <w14:textFill>
            <w14:solidFill>
              <w14:srgbClr w14:val="030303"/>
            </w14:solidFill>
          </w14:textFill>
        </w:rPr>
        <w:t>Please Read Carefully</w:t>
      </w:r>
    </w:p>
    <w:p>
      <w:pPr>
        <w:pStyle w:val="Body"/>
        <w:spacing w:before="201" w:line="278" w:lineRule="auto"/>
        <w:ind w:left="361" w:right="362" w:hanging="1"/>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By selecting the 50/50 ownership option, you and your spouse are each making an Islamic gift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nl-NL"/>
          <w14:textFill>
            <w14:solidFill>
              <w14:srgbClr w14:val="030303"/>
            </w14:solidFill>
          </w14:textFill>
        </w:rPr>
        <w:t xml:space="preserve">(heba)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of one-half of your community property to the other. This is a serious and permanent decision under Islamic law. Please read the following before confirming.</w:t>
      </w:r>
    </w:p>
    <w:p>
      <w:pPr>
        <w:pStyle w:val="Body"/>
        <w:spacing w:before="212" w:line="276" w:lineRule="auto"/>
        <w:ind w:left="360" w:right="498" w:firstLine="2"/>
        <w:jc w:val="both"/>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What a heba is: </w:t>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A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nl-NL"/>
          <w14:textFill>
            <w14:solidFill>
              <w14:srgbClr w14:val="030303"/>
            </w14:solidFill>
          </w14:textFill>
        </w:rPr>
        <w:t xml:space="preserve">heba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is a lifetime gift under Islamic law.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is not a provision in a will - it takes effect immediately when you sign your trust, while you are both alive.</w:t>
      </w:r>
    </w:p>
    <w:p>
      <w:pPr>
        <w:pStyle w:val="Body"/>
        <w:spacing w:before="228"/>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What this means for you:</w:t>
      </w:r>
    </w:p>
    <w:p>
      <w:pPr>
        <w:pStyle w:val="Body"/>
        <w:numPr>
          <w:ilvl w:val="0"/>
          <w:numId w:val="81"/>
        </w:numPr>
        <w:bidi w:val="0"/>
        <w:spacing w:before="278"/>
        <w:ind w:right="0"/>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It is immediate.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moment you sign your trust, this gift takes effect under Islamic law.</w:t>
      </w:r>
    </w:p>
    <w:p>
      <w:pPr>
        <w:pStyle w:val="Body"/>
        <w:numPr>
          <w:ilvl w:val="0"/>
          <w:numId w:val="90"/>
        </w:numPr>
        <w:bidi w:val="0"/>
        <w:spacing w:before="136" w:line="312" w:lineRule="auto"/>
        <w:ind w:right="536"/>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It is irrevocable.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Under Islamic law, a valid gift may not be taken back. Once made, neither spouse can reclaim what was given, for any reason.</w:t>
      </w:r>
    </w:p>
    <w:p>
      <w:pPr>
        <w:pStyle w:val="Body"/>
        <w:numPr>
          <w:ilvl w:val="0"/>
          <w:numId w:val="81"/>
        </w:numPr>
        <w:bidi w:val="0"/>
        <w:spacing w:before="48" w:line="306" w:lineRule="auto"/>
        <w:ind w:right="476"/>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It survives divorce.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you and your spouse later separate or divorce, this gift remains in effect. The civil divorce process does not undo an Islamic gift. Neither spouse may demand the return of what was given.</w:t>
      </w:r>
    </w:p>
    <w:p>
      <w:pPr>
        <w:pStyle w:val="Body"/>
        <w:spacing w:line="278" w:lineRule="auto"/>
        <w:ind w:left="357" w:right="362" w:firstLine="6"/>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Why we are asking you to do this: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Texas law treats most property earned during a marriage as owned equally by both spouses. Islamic inheritance law applies the Qur'anic shares to what each spouse individually owns. To make those shares apply correctly, ownership must be established. The 50/50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nl-NL"/>
          <w14:textFill>
            <w14:solidFill>
              <w14:srgbClr w14:val="030303"/>
            </w14:solidFill>
          </w14:textFill>
        </w:rPr>
        <w:t xml:space="preserve">heba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is one recognized way to do that - each spouse gives the other half of what they earned, resulting in clear, equal ownership of all marital property</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spacing w:before="63" w:line="278" w:lineRule="auto"/>
        <w:ind w:left="357" w:hanging="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rFonts w:ascii="Arial" w:hAnsi="Arial"/>
          <w:b w:val="1"/>
          <w:bCs w:val="1"/>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you are not comfortable with this: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You do not have to choose this option. You may go back and select the asset-by-asset option instead, which does not involve a gift. </w:t>
      </w:r>
      <w:r>
        <w:rPr>
          <w:rFonts w:ascii="Arial" w:hAnsi="Arial"/>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you are unsure, we encourage you to speak with an imam or a Muslim estate planning attorney before proceeding.</w:t>
      </w:r>
    </w:p>
    <w:p>
      <w:pPr>
        <w:pStyle w:val="Body"/>
        <w:ind w:left="356"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outline w:val="0"/>
          <w:color w:val="030303"/>
          <w:sz w:val="27"/>
          <w:szCs w:val="27"/>
          <w:u w:color="030303"/>
          <w:rtl w:val="0"/>
          <w:lang w:val="en-US"/>
          <w14:textFill>
            <w14:solidFill>
              <w14:srgbClr w14:val="030303"/>
            </w14:solidFill>
          </w14:textFill>
        </w:rPr>
        <w:t>{husbandFullName}</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 Individual Acknowledgment:</w:t>
      </w:r>
    </w:p>
    <w:p>
      <w:pPr>
        <w:pStyle w:val="Body"/>
        <w:spacing w:before="257" w:line="266" w:lineRule="auto"/>
        <w:ind w:left="357" w:right="497"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rFonts w:ascii="Rod" w:cs="Rod" w:hAnsi="Rod" w:eastAsia="Rod"/>
          <w:caps w:val="0"/>
          <w:smallCaps w:val="0"/>
          <w:strike w:val="0"/>
          <w:dstrike w:val="0"/>
          <w:outline w:val="0"/>
          <w:color w:val="000000"/>
          <w:sz w:val="25"/>
          <w:szCs w:val="25"/>
          <w:u w:val="none" w:color="000000"/>
          <w:shd w:val="nil" w:color="auto" w:fill="auto"/>
          <w:vertAlign w:val="baseline"/>
          <w:rtl w:val="0"/>
          <w:lang w:val="en-US"/>
          <w14:textFill>
            <w14:solidFill>
              <w14:srgbClr w14:val="000000"/>
            </w14:solidFill>
          </w14:textFill>
        </w:rPr>
        <w:t xml:space="preserve">D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 xml:space="preserve">I, </w:t>
      </w:r>
      <w:r>
        <w:rPr>
          <w:outline w:val="0"/>
          <w:color w:val="030303"/>
          <w:sz w:val="27"/>
          <w:szCs w:val="27"/>
          <w:u w:color="030303"/>
          <w:rtl w:val="0"/>
          <w:lang w:val="en-US"/>
          <w14:textFill>
            <w14:solidFill>
              <w14:srgbClr w14:val="030303"/>
            </w14:solidFill>
          </w14:textFill>
        </w:rPr>
        <w:t>{husbandFullName}</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have read and understood the above explanation. I understand that by signing this trust I am making an irrevocable Islamic gift (heba) of one-half of my community property to my spouse. I understand this gift takes effect immediately, cannot be revoked, and will not be undone by divorce. I make this gift freely, voluntarily, and without coercion.</w:t>
      </w:r>
    </w:p>
    <w:p>
      <w:pPr>
        <w:pStyle w:val="Body"/>
        <w:spacing w:before="230"/>
        <w:ind w:left="356"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outline w:val="0"/>
          <w:color w:val="030303"/>
          <w:sz w:val="27"/>
          <w:szCs w:val="27"/>
          <w:u w:color="030303"/>
          <w:rtl w:val="0"/>
          <w:lang w:val="en-US"/>
          <w14:textFill>
            <w14:solidFill>
              <w14:srgbClr w14:val="030303"/>
            </w14:solidFill>
          </w14:textFill>
        </w:rPr>
        <w:t>{wifeFullName}</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 Individual Acknowledgment:</w:t>
      </w:r>
    </w:p>
    <w:p>
      <w:pPr>
        <w:pStyle w:val="Body"/>
        <w:spacing w:before="262" w:line="268" w:lineRule="auto"/>
        <w:ind w:left="357" w:right="497"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rFonts w:ascii="Rod" w:cs="Rod" w:hAnsi="Rod" w:eastAsia="Rod"/>
          <w:caps w:val="0"/>
          <w:smallCaps w:val="0"/>
          <w:strike w:val="0"/>
          <w:dstrike w:val="0"/>
          <w:outline w:val="0"/>
          <w:color w:val="000000"/>
          <w:sz w:val="25"/>
          <w:szCs w:val="25"/>
          <w:u w:val="none" w:color="000000"/>
          <w:shd w:val="nil" w:color="auto" w:fill="auto"/>
          <w:vertAlign w:val="baseline"/>
          <w:rtl w:val="0"/>
          <w:lang w:val="en-US"/>
          <w14:textFill>
            <w14:solidFill>
              <w14:srgbClr w14:val="000000"/>
            </w14:solidFill>
          </w14:textFill>
        </w:rPr>
        <w:t xml:space="preserve">D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I, {</w:t>
      </w:r>
      <w:r>
        <w:rPr>
          <w:outline w:val="0"/>
          <w:color w:val="030303"/>
          <w:sz w:val="27"/>
          <w:szCs w:val="27"/>
          <w:u w:color="030303"/>
          <w:rtl w:val="0"/>
          <w:lang w:val="en-US"/>
          <w14:textFill>
            <w14:solidFill>
              <w14:srgbClr w14:val="030303"/>
            </w14:solidFill>
          </w14:textFill>
        </w:rPr>
        <w:t>wifeFullName</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have read and understood the above explanation. I understand that by signing this trust I am making an irrevocable Islamic gift (heba) of one-half of my community property to my spouse. I understand this gift takes effect immediately, cannot be revoked, and will not be undone by divorce. I make this gift freely, voluntarily, and without coercion.</w:t>
      </w:r>
    </w:p>
    <w:p>
      <w:pPr>
        <w:pStyle w:val="Body"/>
        <w:ind w:left="350" w:firstLine="0"/>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Both acknowledgments must be checked before the trust document will be generated.</w:t>
      </w:r>
    </w:p>
    <w:p>
      <w:pPr>
        <w:pStyle w:val="Body"/>
      </w:pPr>
      <w:r>
        <w:rPr>
          <w:rtl w:val="0"/>
          <w:lang w:val="nl-NL"/>
        </w:rPr>
        <w:t>{/isHeba}</w:t>
      </w:r>
      <w:r/>
    </w:p>
    <w:sectPr>
      <w:headerReference w:type="default" r:id="rId6"/>
      <w:pgSz w:w="12240" w:h="15840" w:orient="portrait"/>
      <w:pgMar w:top="300" w:right="360" w:bottom="280" w:left="36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Ro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963"/>
        </w:tabs>
        <w:ind w:left="963"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61"/>
          <w:tab w:val="left" w:pos="963"/>
        </w:tabs>
        <w:ind w:left="1570"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61"/>
          <w:tab w:val="left" w:pos="963"/>
        </w:tabs>
        <w:ind w:left="158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61"/>
          <w:tab w:val="left" w:pos="963"/>
        </w:tabs>
        <w:ind w:left="282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61"/>
          <w:tab w:val="left" w:pos="963"/>
        </w:tabs>
        <w:ind w:left="407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61"/>
          <w:tab w:val="left" w:pos="963"/>
        </w:tabs>
        <w:ind w:left="531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61"/>
          <w:tab w:val="left" w:pos="963"/>
        </w:tabs>
        <w:ind w:left="655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61"/>
          <w:tab w:val="left" w:pos="963"/>
        </w:tabs>
        <w:ind w:left="779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61"/>
          <w:tab w:val="left" w:pos="963"/>
        </w:tabs>
        <w:ind w:left="904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left" w:pos="156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564"/>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64"/>
        </w:tabs>
        <w:ind w:left="2160" w:hanging="4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564"/>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64"/>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64"/>
        </w:tabs>
        <w:ind w:left="4320" w:hanging="4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564"/>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64"/>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64"/>
        </w:tabs>
        <w:ind w:left="6480" w:hanging="4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2">
      <w:start w:val="1"/>
      <w:numFmt w:val="bullet"/>
      <w:suff w:val="tab"/>
      <w:lvlText w:val="•"/>
      <w:lvlJc w:val="left"/>
      <w:pPr>
        <w:tabs>
          <w:tab w:val="left" w:pos="1565"/>
        </w:tabs>
        <w:ind w:left="2668"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3">
      <w:start w:val="1"/>
      <w:numFmt w:val="bullet"/>
      <w:suff w:val="tab"/>
      <w:lvlText w:val="•"/>
      <w:lvlJc w:val="left"/>
      <w:pPr>
        <w:tabs>
          <w:tab w:val="left" w:pos="1565"/>
        </w:tabs>
        <w:ind w:left="3775"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4">
      <w:start w:val="1"/>
      <w:numFmt w:val="bullet"/>
      <w:suff w:val="tab"/>
      <w:lvlText w:val="•"/>
      <w:lvlJc w:val="left"/>
      <w:pPr>
        <w:tabs>
          <w:tab w:val="left" w:pos="1565"/>
        </w:tabs>
        <w:ind w:left="4882"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5">
      <w:start w:val="1"/>
      <w:numFmt w:val="bullet"/>
      <w:suff w:val="tab"/>
      <w:lvlText w:val="•"/>
      <w:lvlJc w:val="left"/>
      <w:pPr>
        <w:tabs>
          <w:tab w:val="left" w:pos="1565"/>
        </w:tabs>
        <w:ind w:left="5988" w:hanging="392"/>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6">
      <w:start w:val="1"/>
      <w:numFmt w:val="bullet"/>
      <w:suff w:val="tab"/>
      <w:lvlText w:val="•"/>
      <w:lvlJc w:val="left"/>
      <w:pPr>
        <w:tabs>
          <w:tab w:val="left" w:pos="1565"/>
        </w:tabs>
        <w:ind w:left="7095"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7">
      <w:start w:val="1"/>
      <w:numFmt w:val="bullet"/>
      <w:suff w:val="tab"/>
      <w:lvlText w:val="•"/>
      <w:lvlJc w:val="left"/>
      <w:pPr>
        <w:tabs>
          <w:tab w:val="left" w:pos="1565"/>
        </w:tabs>
        <w:ind w:left="8202"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8">
      <w:start w:val="1"/>
      <w:numFmt w:val="bullet"/>
      <w:suff w:val="tab"/>
      <w:lvlText w:val="•"/>
      <w:lvlJc w:val="left"/>
      <w:pPr>
        <w:tabs>
          <w:tab w:val="left" w:pos="1565"/>
        </w:tabs>
        <w:ind w:left="9308"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left" w:pos="961"/>
          </w:tabs>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bullet"/>
        <w:suff w:val="tab"/>
        <w:lvlText w:val="•"/>
        <w:lvlJc w:val="left"/>
        <w:pPr>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0"/>
            <w:tab w:val="left" w:pos="964"/>
          </w:tabs>
          <w:ind w:left="1573"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0"/>
            <w:tab w:val="left" w:pos="964"/>
          </w:tabs>
          <w:ind w:left="1590"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0"/>
            <w:tab w:val="left" w:pos="964"/>
          </w:tabs>
          <w:ind w:left="2832"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0"/>
            <w:tab w:val="left" w:pos="964"/>
          </w:tabs>
          <w:ind w:left="4075"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0"/>
            <w:tab w:val="left" w:pos="964"/>
          </w:tabs>
          <w:ind w:left="531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0"/>
            <w:tab w:val="left" w:pos="964"/>
          </w:tabs>
          <w:ind w:left="6560"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0"/>
            <w:tab w:val="left" w:pos="964"/>
          </w:tabs>
          <w:ind w:left="7802"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0"/>
            <w:tab w:val="left" w:pos="964"/>
          </w:tabs>
          <w:ind w:left="9045"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bullet"/>
        <w:suff w:val="tab"/>
        <w:lvlText w:val="•"/>
        <w:lvlJc w:val="left"/>
        <w:pPr>
          <w:tabs>
            <w:tab w:val="left" w:pos="964"/>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4"/>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4"/>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4"/>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4"/>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4"/>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4"/>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4"/>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4"/>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8"/>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8"/>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 w:val="left" w:pos="1568"/>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 w:val="left" w:pos="1568"/>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 w:val="left" w:pos="1568"/>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 w:val="left" w:pos="1568"/>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 w:val="left" w:pos="1568"/>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 w:val="left" w:pos="1568"/>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0"/>
    <w:lvlOverride w:ilvl="0">
      <w:lvl w:ilvl="0">
        <w:start w:val="1"/>
        <w:numFmt w:val="bullet"/>
        <w:suff w:val="tab"/>
        <w:lvlText w:val="•"/>
        <w:lvlJc w:val="left"/>
        <w:pPr>
          <w:tabs>
            <w:tab w:val="left" w:pos="964"/>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0"/>
    <w:lvlOverride w:ilvl="0">
      <w:lvl w:ilvl="0">
        <w:start w:val="1"/>
        <w:numFmt w:val="bullet"/>
        <w:suff w:val="tab"/>
        <w:lvlText w:val="•"/>
        <w:lvlJc w:val="left"/>
        <w:pPr>
          <w:tabs>
            <w:tab w:val="left" w:pos="962"/>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0">
      <w:lvl w:ilvl="0">
        <w:start w:val="1"/>
        <w:numFmt w:val="bullet"/>
        <w:suff w:val="tab"/>
        <w:lvlText w:val="•"/>
        <w:lvlJc w:val="left"/>
        <w:pPr>
          <w:tabs>
            <w:tab w:val="left" w:pos="962"/>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4"/>
          </w:tabs>
          <w:ind w:left="1572"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4"/>
          </w:tabs>
          <w:ind w:left="1589"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4"/>
          </w:tabs>
          <w:ind w:left="2831"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4"/>
          </w:tabs>
          <w:ind w:left="4074"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4"/>
          </w:tabs>
          <w:ind w:left="531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4"/>
          </w:tabs>
          <w:ind w:left="6559"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4"/>
          </w:tabs>
          <w:ind w:left="7801"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4"/>
          </w:tabs>
          <w:ind w:left="9044"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lvl w:ilvl="0">
        <w:start w:val="1"/>
        <w:numFmt w:val="bullet"/>
        <w:suff w:val="tab"/>
        <w:lvlText w:val="•"/>
        <w:lvlJc w:val="left"/>
        <w:pPr>
          <w:ind w:left="1028"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tabs>
            <w:tab w:val="left" w:pos="958"/>
          </w:tabs>
          <w:ind w:left="1633"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tabs>
            <w:tab w:val="left" w:pos="958"/>
          </w:tabs>
          <w:ind w:left="1650"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tabs>
            <w:tab w:val="left" w:pos="958"/>
          </w:tabs>
          <w:ind w:left="2892"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tabs>
            <w:tab w:val="left" w:pos="958"/>
          </w:tabs>
          <w:ind w:left="4135"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tabs>
            <w:tab w:val="left" w:pos="958"/>
          </w:tabs>
          <w:ind w:left="5377" w:hanging="45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tabs>
            <w:tab w:val="left" w:pos="958"/>
          </w:tabs>
          <w:ind w:left="6620"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tabs>
            <w:tab w:val="left" w:pos="958"/>
          </w:tabs>
          <w:ind w:left="7862" w:hanging="45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tabs>
            <w:tab w:val="left" w:pos="958"/>
          </w:tabs>
          <w:ind w:left="9105"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num>
  <w:num w:numId="15">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3"/>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3"/>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3"/>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3"/>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3"/>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3"/>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7"/>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7"/>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7"/>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7"/>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7"/>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7"/>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7"/>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7"/>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6"/>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6"/>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6"/>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6"/>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6"/>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6"/>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6"/>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6"/>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0"/>
    <w:lvlOverride w:ilvl="0">
      <w:lvl w:ilvl="0">
        <w:start w:val="1"/>
        <w:numFmt w:val="bullet"/>
        <w:suff w:val="tab"/>
        <w:lvlText w:val="•"/>
        <w:lvlJc w:val="left"/>
        <w:pPr>
          <w:tabs>
            <w:tab w:val="left" w:pos="964"/>
          </w:tabs>
          <w:ind w:left="953"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3"/>
            <w:tab w:val="left" w:pos="964"/>
          </w:tabs>
          <w:ind w:left="1558"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3"/>
            <w:tab w:val="left" w:pos="964"/>
          </w:tabs>
          <w:ind w:left="1575"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3"/>
            <w:tab w:val="left" w:pos="964"/>
          </w:tabs>
          <w:ind w:left="2817"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3"/>
            <w:tab w:val="left" w:pos="964"/>
          </w:tabs>
          <w:ind w:left="4060"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3"/>
            <w:tab w:val="left" w:pos="964"/>
          </w:tabs>
          <w:ind w:left="5302" w:hanging="38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3"/>
            <w:tab w:val="left" w:pos="964"/>
          </w:tabs>
          <w:ind w:left="6545"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3"/>
            <w:tab w:val="left" w:pos="964"/>
          </w:tabs>
          <w:ind w:left="7787" w:hanging="38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3"/>
            <w:tab w:val="left" w:pos="964"/>
          </w:tabs>
          <w:ind w:left="9030"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0"/>
    <w:lvlOverride w:ilvl="0">
      <w:lvl w:ilvl="0">
        <w:start w:val="1"/>
        <w:numFmt w:val="bullet"/>
        <w:suff w:val="tab"/>
        <w:lvlText w:val="•"/>
        <w:lvlJc w:val="left"/>
        <w:pPr>
          <w:tabs>
            <w:tab w:val="left" w:pos="960"/>
          </w:tabs>
          <w:ind w:left="960"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7"/>
            <w:tab w:val="left" w:pos="960"/>
          </w:tabs>
          <w:ind w:left="1568"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7"/>
            <w:tab w:val="left" w:pos="960"/>
          </w:tabs>
          <w:ind w:left="158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7"/>
            <w:tab w:val="left" w:pos="960"/>
          </w:tabs>
          <w:ind w:left="282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7"/>
            <w:tab w:val="left" w:pos="960"/>
          </w:tabs>
          <w:ind w:left="4070"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7"/>
            <w:tab w:val="left" w:pos="960"/>
          </w:tabs>
          <w:ind w:left="531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7"/>
            <w:tab w:val="left" w:pos="960"/>
          </w:tabs>
          <w:ind w:left="655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7"/>
            <w:tab w:val="left" w:pos="960"/>
          </w:tabs>
          <w:ind w:left="779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7"/>
            <w:tab w:val="left" w:pos="960"/>
          </w:tabs>
          <w:ind w:left="9040"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0"/>
    <w:lvlOverride w:ilvl="0">
      <w:lvl w:ilvl="0">
        <w:start w:val="1"/>
        <w:numFmt w:val="bullet"/>
        <w:suff w:val="tab"/>
        <w:lvlText w:val="•"/>
        <w:lvlJc w:val="left"/>
        <w:pPr>
          <w:tabs>
            <w:tab w:val="left" w:pos="961"/>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0"/>
    <w:lvlOverride w:ilvl="0">
      <w:lvl w:ilvl="0">
        <w:start w:val="1"/>
        <w:numFmt w:val="bullet"/>
        <w:suff w:val="tab"/>
        <w:lvlText w:val="•"/>
        <w:lvlJc w:val="left"/>
        <w:pPr>
          <w:tabs>
            <w:tab w:val="left" w:pos="960"/>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0"/>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0"/>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0"/>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0"/>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0"/>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0"/>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0"/>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0"/>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0"/>
    <w:lvlOverride w:ilvl="0">
      <w:lvl w:ilvl="0">
        <w:start w:val="1"/>
        <w:numFmt w:val="bullet"/>
        <w:suff w:val="tab"/>
        <w:lvlText w:val="•"/>
        <w:lvlJc w:val="left"/>
        <w:pPr>
          <w:tabs>
            <w:tab w:val="left" w:pos="962"/>
          </w:tabs>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 w:val="left" w:pos="1565"/>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 w:val="left" w:pos="1565"/>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 w:val="left" w:pos="1565"/>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 w:val="left" w:pos="1565"/>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 w:val="left" w:pos="1565"/>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 w:val="left" w:pos="1565"/>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0"/>
    <w:lvlOverride w:ilvl="0">
      <w:lvl w:ilvl="0">
        <w:start w:val="1"/>
        <w:numFmt w:val="bullet"/>
        <w:suff w:val="tab"/>
        <w:lvlText w:val="•"/>
        <w:lvlJc w:val="left"/>
        <w:pPr>
          <w:tabs>
            <w:tab w:val="left" w:pos="958"/>
          </w:tabs>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58"/>
          </w:tabs>
          <w:ind w:left="15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58"/>
          </w:tabs>
          <w:ind w:left="158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58"/>
          </w:tabs>
          <w:ind w:left="282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58"/>
          </w:tabs>
          <w:ind w:left="406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58"/>
          </w:tabs>
          <w:ind w:left="5309"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58"/>
          </w:tabs>
          <w:ind w:left="655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58"/>
          </w:tabs>
          <w:ind w:left="7794"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58"/>
          </w:tabs>
          <w:ind w:left="903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0"/>
    <w:lvlOverride w:ilvl="0">
      <w:lvl w:ilvl="0">
        <w:start w:val="1"/>
        <w:numFmt w:val="bullet"/>
        <w:suff w:val="tab"/>
        <w:lvlText w:val="•"/>
        <w:lvlJc w:val="left"/>
        <w:pPr>
          <w:tabs>
            <w:tab w:val="left" w:pos="958"/>
          </w:tabs>
          <w:ind w:left="958"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58"/>
          </w:tabs>
          <w:ind w:left="15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58"/>
          </w:tabs>
          <w:ind w:left="158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58"/>
          </w:tabs>
          <w:ind w:left="2824"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58"/>
          </w:tabs>
          <w:ind w:left="406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58"/>
          </w:tabs>
          <w:ind w:left="530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58"/>
          </w:tabs>
          <w:ind w:left="655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58"/>
          </w:tabs>
          <w:ind w:left="779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58"/>
          </w:tabs>
          <w:ind w:left="903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562"/>
            <w:tab w:val="left" w:pos="1575"/>
          </w:tabs>
          <w:ind w:left="1575"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562"/>
            <w:tab w:val="left" w:pos="1575"/>
          </w:tabs>
          <w:ind w:left="157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 w:val="left" w:pos="1575"/>
            <w:tab w:val="num" w:pos="2834"/>
          </w:tabs>
          <w:ind w:left="2847"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 w:val="left" w:pos="1575"/>
            <w:tab w:val="num" w:pos="4077"/>
          </w:tabs>
          <w:ind w:left="4090"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 w:val="left" w:pos="1575"/>
            <w:tab w:val="num" w:pos="5319"/>
          </w:tabs>
          <w:ind w:left="5332" w:hanging="4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 w:val="left" w:pos="1575"/>
            <w:tab w:val="num" w:pos="6562"/>
          </w:tabs>
          <w:ind w:left="6575"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 w:val="left" w:pos="1575"/>
            <w:tab w:val="num" w:pos="7804"/>
          </w:tabs>
          <w:ind w:left="7817" w:hanging="4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 w:val="left" w:pos="1575"/>
            <w:tab w:val="num" w:pos="9047"/>
          </w:tabs>
          <w:ind w:left="9060"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5"/>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5"/>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5"/>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5"/>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5"/>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5"/>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1">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1"/>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1"/>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1"/>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1"/>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1"/>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1"/>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7"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7" w:hanging="3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7"/>
            <w:tab w:val="left" w:pos="1561"/>
          </w:tabs>
          <w:ind w:left="281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7"/>
            <w:tab w:val="left" w:pos="1561"/>
          </w:tabs>
          <w:ind w:left="4059"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7"/>
            <w:tab w:val="left" w:pos="1561"/>
          </w:tabs>
          <w:ind w:left="5301"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7"/>
            <w:tab w:val="left" w:pos="1561"/>
          </w:tabs>
          <w:ind w:left="6544"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7"/>
            <w:tab w:val="left" w:pos="1561"/>
          </w:tabs>
          <w:ind w:left="7786"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7"/>
            <w:tab w:val="left" w:pos="1561"/>
          </w:tabs>
          <w:ind w:left="9029"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4">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2"/>
          </w:tabs>
          <w:ind w:left="15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2"/>
          </w:tabs>
          <w:ind w:left="1562"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8"/>
            <w:tab w:val="left" w:pos="1562"/>
          </w:tabs>
          <w:ind w:left="2825"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8"/>
            <w:tab w:val="left" w:pos="1562"/>
          </w:tabs>
          <w:ind w:left="4068"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8"/>
            <w:tab w:val="left" w:pos="1562"/>
          </w:tabs>
          <w:ind w:left="5310"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8"/>
            <w:tab w:val="left" w:pos="1562"/>
          </w:tabs>
          <w:ind w:left="6553"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8"/>
            <w:tab w:val="left" w:pos="1562"/>
          </w:tabs>
          <w:ind w:left="7795"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8"/>
            <w:tab w:val="left" w:pos="1562"/>
          </w:tabs>
          <w:ind w:left="9038"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abstractNumId w:val="0"/>
    <w:lvlOverride w:ilvl="0">
      <w:lvl w:ilvl="0">
        <w:start w:val="1"/>
        <w:numFmt w:val="bullet"/>
        <w:suff w:val="tab"/>
        <w:lvlText w:val="•"/>
        <w:lvlJc w:val="left"/>
        <w:pPr>
          <w:tabs>
            <w:tab w:val="left" w:pos="960"/>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0"/>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0"/>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0"/>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0"/>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0"/>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0"/>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0"/>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0"/>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6">
    <w:abstractNumId w:val="3"/>
  </w:num>
  <w:num w:numId="37">
    <w:abstractNumId w:val="2"/>
  </w:num>
  <w:num w:numId="38">
    <w:abstractNumId w:val="0"/>
    <w:lvlOverride w:ilvl="0">
      <w:lvl w:ilvl="0">
        <w:start w:val="1"/>
        <w:numFmt w:val="bullet"/>
        <w:suff w:val="tab"/>
        <w:lvlText w:val="•"/>
        <w:lvlJc w:val="left"/>
        <w:pPr>
          <w:ind w:left="96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9">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5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59"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5"/>
          </w:tabs>
          <w:ind w:left="281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5"/>
          </w:tabs>
          <w:ind w:left="4061"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5"/>
          </w:tabs>
          <w:ind w:left="530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5"/>
          </w:tabs>
          <w:ind w:left="6546"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5"/>
          </w:tabs>
          <w:ind w:left="778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5"/>
          </w:tabs>
          <w:ind w:left="9031"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0"/>
    <w:lvlOverride w:ilvl="0">
      <w:lvl w:ilvl="0">
        <w:start w:val="1"/>
        <w:numFmt w:val="bullet"/>
        <w:suff w:val="tab"/>
        <w:lvlText w:val="•"/>
        <w:lvlJc w:val="left"/>
        <w:pPr>
          <w:tabs>
            <w:tab w:val="left" w:pos="967"/>
          </w:tabs>
          <w:ind w:left="967"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7"/>
          </w:tabs>
          <w:ind w:left="1578"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7"/>
          </w:tabs>
          <w:ind w:left="1595"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7"/>
          </w:tabs>
          <w:ind w:left="2837"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7"/>
          </w:tabs>
          <w:ind w:left="4080"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7"/>
          </w:tabs>
          <w:ind w:left="5322"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7"/>
          </w:tabs>
          <w:ind w:left="6565"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7"/>
          </w:tabs>
          <w:ind w:left="7807"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7"/>
          </w:tabs>
          <w:ind w:left="9050"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6" w:hanging="37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6"/>
          </w:tabs>
          <w:ind w:left="2825"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6"/>
          </w:tabs>
          <w:ind w:left="4068"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6"/>
          </w:tabs>
          <w:ind w:left="5310"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6"/>
          </w:tabs>
          <w:ind w:left="65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6"/>
          </w:tabs>
          <w:ind w:left="779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6"/>
          </w:tabs>
          <w:ind w:left="9038"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6"/>
          </w:tabs>
          <w:ind w:left="156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6"/>
          </w:tabs>
          <w:ind w:left="1566" w:hanging="37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 w:val="left" w:pos="1566"/>
          </w:tabs>
          <w:ind w:left="2831"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 w:val="left" w:pos="1566"/>
          </w:tabs>
          <w:ind w:left="4074"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 w:val="left" w:pos="1566"/>
          </w:tabs>
          <w:ind w:left="5316"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 w:val="left" w:pos="1566"/>
          </w:tabs>
          <w:ind w:left="6559"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 w:val="left" w:pos="1566"/>
          </w:tabs>
          <w:ind w:left="7801"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 w:val="left" w:pos="1566"/>
          </w:tabs>
          <w:ind w:left="9044"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0"/>
    <w:lvlOverride w:ilvl="0">
      <w:lvl w:ilvl="0">
        <w:start w:val="1"/>
        <w:numFmt w:val="bullet"/>
        <w:suff w:val="tab"/>
        <w:lvlText w:val="•"/>
        <w:lvlJc w:val="left"/>
        <w:pPr>
          <w:tabs>
            <w:tab w:val="left" w:pos="961"/>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1"/>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1"/>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1"/>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1"/>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1"/>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1"/>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1"/>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1"/>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0"/>
    <w:lvlOverride w:ilvl="0">
      <w:lvl w:ilvl="0">
        <w:start w:val="1"/>
        <w:numFmt w:val="bullet"/>
        <w:suff w:val="tab"/>
        <w:lvlText w:val="•"/>
        <w:lvlJc w:val="left"/>
        <w:pPr>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6">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7">
    <w:abstractNumId w:val="0"/>
    <w:lvlOverride w:ilvl="0">
      <w:lvl w:ilvl="0">
        <w:start w:val="1"/>
        <w:numFmt w:val="bullet"/>
        <w:suff w:val="tab"/>
        <w:lvlText w:val="•"/>
        <w:lvlJc w:val="left"/>
        <w:pPr>
          <w:tabs>
            <w:tab w:val="left" w:pos="963"/>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3"/>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3"/>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3"/>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3"/>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3"/>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3"/>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3"/>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3"/>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8">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0">
    <w:abstractNumId w:val="0"/>
    <w:lvlOverride w:ilvl="0">
      <w:lvl w:ilvl="0">
        <w:start w:val="1"/>
        <w:numFmt w:val="bullet"/>
        <w:suff w:val="tab"/>
        <w:lvlText w:val="•"/>
        <w:lvlJc w:val="left"/>
        <w:pPr>
          <w:tabs>
            <w:tab w:val="left" w:pos="970"/>
          </w:tabs>
          <w:ind w:left="970"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0"/>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2">
    <w:abstractNumId w:val="0"/>
    <w:lvlOverride w:ilvl="0">
      <w:lvl w:ilvl="0">
        <w:start w:val="1"/>
        <w:numFmt w:val="bullet"/>
        <w:suff w:val="tab"/>
        <w:lvlText w:val="•"/>
        <w:lvlJc w:val="left"/>
        <w:pPr>
          <w:tabs>
            <w:tab w:val="left" w:pos="963"/>
          </w:tabs>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3">
    <w:abstractNumId w:val="0"/>
    <w:lvlOverride w:ilvl="0">
      <w:lvl w:ilvl="0">
        <w:start w:val="1"/>
        <w:numFmt w:val="bullet"/>
        <w:suff w:val="tab"/>
        <w:lvlText w:val="•"/>
        <w:lvlJc w:val="left"/>
        <w:pPr>
          <w:tabs>
            <w:tab w:val="left" w:pos="961"/>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1"/>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1"/>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1"/>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1"/>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1"/>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1"/>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1"/>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1"/>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4">
    <w:abstractNumId w:val="0"/>
    <w:lvlOverride w:ilvl="0">
      <w:lvl w:ilvl="0">
        <w:start w:val="1"/>
        <w:numFmt w:val="bullet"/>
        <w:suff w:val="tab"/>
        <w:lvlText w:val="•"/>
        <w:lvlJc w:val="left"/>
        <w:pPr>
          <w:tabs>
            <w:tab w:val="left" w:pos="960"/>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0"/>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0"/>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0"/>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0"/>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0"/>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0"/>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0"/>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0"/>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5">
    <w:abstractNumId w:val="0"/>
    <w:lvlOverride w:ilvl="0">
      <w:lvl w:ilvl="0">
        <w:start w:val="1"/>
        <w:numFmt w:val="bullet"/>
        <w:suff w:val="tab"/>
        <w:lvlText w:val="•"/>
        <w:lvlJc w:val="left"/>
        <w:pPr>
          <w:tabs>
            <w:tab w:val="left" w:pos="961"/>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1"/>
          </w:tabs>
          <w:ind w:left="156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1"/>
          </w:tabs>
          <w:ind w:left="158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1"/>
          </w:tabs>
          <w:ind w:left="282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1"/>
          </w:tabs>
          <w:ind w:left="406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1"/>
          </w:tabs>
          <w:ind w:left="5309"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1"/>
          </w:tabs>
          <w:ind w:left="655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1"/>
          </w:tabs>
          <w:ind w:left="7794"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1"/>
          </w:tabs>
          <w:ind w:left="903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6">
    <w:abstractNumId w:val="0"/>
    <w:lvlOverride w:ilvl="0">
      <w:lvl w:ilvl="0">
        <w:start w:val="1"/>
        <w:numFmt w:val="bullet"/>
        <w:suff w:val="tab"/>
        <w:lvlText w:val="•"/>
        <w:lvlJc w:val="left"/>
        <w:pPr>
          <w:tabs>
            <w:tab w:val="left" w:pos="962"/>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2"/>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2"/>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2"/>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2"/>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2"/>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2"/>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2"/>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2"/>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7">
    <w:abstractNumId w:val="0"/>
    <w:lvlOverride w:ilvl="0">
      <w:lvl w:ilvl="0">
        <w:start w:val="1"/>
        <w:numFmt w:val="bullet"/>
        <w:suff w:val="tab"/>
        <w:lvlText w:val="•"/>
        <w:lvlJc w:val="left"/>
        <w:pPr>
          <w:ind w:left="95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7"/>
          </w:tabs>
          <w:ind w:left="156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7"/>
          </w:tabs>
          <w:ind w:left="157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7"/>
          </w:tabs>
          <w:ind w:left="282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7"/>
          </w:tabs>
          <w:ind w:left="4064"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7"/>
          </w:tabs>
          <w:ind w:left="530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7"/>
          </w:tabs>
          <w:ind w:left="654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7"/>
          </w:tabs>
          <w:ind w:left="779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7"/>
          </w:tabs>
          <w:ind w:left="9034"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0"/>
    <w:lvlOverride w:ilvl="0">
      <w:lvl w:ilvl="0">
        <w:start w:val="1"/>
        <w:numFmt w:val="bullet"/>
        <w:suff w:val="tab"/>
        <w:lvlText w:val="•"/>
        <w:lvlJc w:val="left"/>
        <w:pPr>
          <w:tabs>
            <w:tab w:val="left" w:pos="961"/>
          </w:tabs>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1">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2">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3"/>
          </w:tabs>
          <w:ind w:left="282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3"/>
          </w:tabs>
          <w:ind w:left="406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3"/>
          </w:tabs>
          <w:ind w:left="531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3"/>
          </w:tabs>
          <w:ind w:left="6554"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3"/>
          </w:tabs>
          <w:ind w:left="779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3"/>
          </w:tabs>
          <w:ind w:left="903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3">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4">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8"/>
          </w:tabs>
          <w:ind w:left="282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8"/>
          </w:tabs>
          <w:ind w:left="407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8"/>
          </w:tabs>
          <w:ind w:left="531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8"/>
          </w:tabs>
          <w:ind w:left="6555"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8"/>
          </w:tabs>
          <w:ind w:left="779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8"/>
          </w:tabs>
          <w:ind w:left="904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5">
    <w:abstractNumId w:val="0"/>
    <w:lvlOverride w:ilvl="0">
      <w:lvl w:ilvl="0">
        <w:start w:val="1"/>
        <w:numFmt w:val="bullet"/>
        <w:suff w:val="tab"/>
        <w:lvlText w:val="•"/>
        <w:lvlJc w:val="left"/>
        <w:pPr>
          <w:tabs>
            <w:tab w:val="left" w:pos="966"/>
          </w:tabs>
          <w:ind w:left="96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6">
    <w:abstractNumId w:val="0"/>
    <w:lvlOverride w:ilvl="0">
      <w:lvl w:ilvl="0">
        <w:start w:val="1"/>
        <w:numFmt w:val="bullet"/>
        <w:suff w:val="tab"/>
        <w:lvlText w:val="•"/>
        <w:lvlJc w:val="left"/>
        <w:pPr>
          <w:ind w:left="96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7" w:hanging="37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7"/>
          </w:tabs>
          <w:ind w:left="282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7"/>
          </w:tabs>
          <w:ind w:left="406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7"/>
          </w:tabs>
          <w:ind w:left="531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7"/>
          </w:tabs>
          <w:ind w:left="6554"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7"/>
          </w:tabs>
          <w:ind w:left="779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7"/>
          </w:tabs>
          <w:ind w:left="903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7">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8">
    <w:abstractNumId w:val="0"/>
    <w:lvlOverride w:ilvl="0">
      <w:lvl w:ilvl="0">
        <w:start w:val="1"/>
        <w:numFmt w:val="bullet"/>
        <w:suff w:val="tab"/>
        <w:lvlText w:val="•"/>
        <w:lvlJc w:val="left"/>
        <w:pPr>
          <w:tabs>
            <w:tab w:val="left" w:pos="963"/>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3"/>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3"/>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3"/>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3"/>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3"/>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3"/>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3"/>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3"/>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9">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0">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565"/>
          </w:tabs>
          <w:ind w:left="964" w:firstLine="2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582"/>
          </w:tabs>
          <w:ind w:left="981" w:firstLine="22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 w:val="num" w:pos="2824"/>
          </w:tabs>
          <w:ind w:left="2223" w:firstLine="15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 w:val="num" w:pos="4067"/>
          </w:tabs>
          <w:ind w:left="3466" w:hanging="4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4708" w:hanging="24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 w:val="num" w:pos="6552"/>
          </w:tabs>
          <w:ind w:left="5951" w:firstLine="27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 w:val="num" w:pos="7794"/>
          </w:tabs>
          <w:ind w:left="7193" w:firstLine="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8436" w:hanging="1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1">
    <w:abstractNumId w:val="0"/>
    <w:lvlOverride w:ilvl="0">
      <w:lvl w:ilvl="0">
        <w:start w:val="1"/>
        <w:numFmt w:val="bullet"/>
        <w:suff w:val="tab"/>
        <w:lvlText w:val="•"/>
        <w:lvlJc w:val="left"/>
        <w:pPr>
          <w:tabs>
            <w:tab w:val="left" w:pos="969"/>
          </w:tabs>
          <w:ind w:left="969"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9"/>
          </w:tabs>
          <w:ind w:left="1582"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9"/>
          </w:tabs>
          <w:ind w:left="1599"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9"/>
          </w:tabs>
          <w:ind w:left="2841"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9"/>
          </w:tabs>
          <w:ind w:left="4084"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9"/>
          </w:tabs>
          <w:ind w:left="5326"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9"/>
          </w:tabs>
          <w:ind w:left="6569"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9"/>
          </w:tabs>
          <w:ind w:left="7811"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9"/>
          </w:tabs>
          <w:ind w:left="9054"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2">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8"/>
          </w:tabs>
          <w:ind w:left="282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8"/>
          </w:tabs>
          <w:ind w:left="407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8"/>
          </w:tabs>
          <w:ind w:left="531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8"/>
          </w:tabs>
          <w:ind w:left="6555"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8"/>
          </w:tabs>
          <w:ind w:left="779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8"/>
          </w:tabs>
          <w:ind w:left="904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3">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4">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8"/>
          </w:tabs>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8"/>
          </w:tabs>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8"/>
          </w:tabs>
          <w:ind w:left="2836"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8"/>
          </w:tabs>
          <w:ind w:left="4079"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8"/>
          </w:tabs>
          <w:ind w:left="5321"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8"/>
          </w:tabs>
          <w:ind w:left="6564"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8"/>
          </w:tabs>
          <w:ind w:left="7806"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8"/>
          </w:tabs>
          <w:ind w:left="9049"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5">
    <w:abstractNumId w:val="0"/>
    <w:lvlOverride w:ilvl="0">
      <w:lvl w:ilvl="0">
        <w:start w:val="1"/>
        <w:numFmt w:val="bullet"/>
        <w:suff w:val="tab"/>
        <w:lvlText w:val="•"/>
        <w:lvlJc w:val="left"/>
        <w:pPr>
          <w:tabs>
            <w:tab w:val="left" w:pos="962"/>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2"/>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2"/>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2"/>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2"/>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2"/>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2"/>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2"/>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2"/>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6">
    <w:abstractNumId w:val="0"/>
    <w:lvlOverride w:ilvl="0">
      <w:lvl w:ilvl="0">
        <w:start w:val="1"/>
        <w:numFmt w:val="bullet"/>
        <w:suff w:val="tab"/>
        <w:lvlText w:val="•"/>
        <w:lvlJc w:val="left"/>
        <w:pPr>
          <w:tabs>
            <w:tab w:val="left" w:pos="967"/>
          </w:tabs>
          <w:ind w:left="967"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2"/>
            <w:tab w:val="left" w:pos="967"/>
          </w:tabs>
          <w:ind w:left="1577"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2"/>
            <w:tab w:val="left" w:pos="967"/>
          </w:tabs>
          <w:ind w:left="1594"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2"/>
            <w:tab w:val="left" w:pos="967"/>
          </w:tabs>
          <w:ind w:left="2836"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2"/>
            <w:tab w:val="left" w:pos="967"/>
          </w:tabs>
          <w:ind w:left="4079"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2"/>
            <w:tab w:val="left" w:pos="967"/>
          </w:tabs>
          <w:ind w:left="5321"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2"/>
            <w:tab w:val="left" w:pos="967"/>
          </w:tabs>
          <w:ind w:left="6564"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2"/>
            <w:tab w:val="left" w:pos="967"/>
          </w:tabs>
          <w:ind w:left="7806"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2"/>
            <w:tab w:val="left" w:pos="967"/>
          </w:tabs>
          <w:ind w:left="9049"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7">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1" w:hanging="37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1"/>
          </w:tabs>
          <w:ind w:left="2820"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1"/>
          </w:tabs>
          <w:ind w:left="4063"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1"/>
          </w:tabs>
          <w:ind w:left="5305"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1"/>
          </w:tabs>
          <w:ind w:left="6548"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1"/>
          </w:tabs>
          <w:ind w:left="779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1"/>
          </w:tabs>
          <w:ind w:left="9033"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8">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1"/>
            <w:tab w:val="left" w:pos="1563"/>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1"/>
            <w:tab w:val="left" w:pos="1563"/>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1"/>
            <w:tab w:val="left" w:pos="1563"/>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1"/>
            <w:tab w:val="left" w:pos="1563"/>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1"/>
            <w:tab w:val="left" w:pos="1563"/>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1"/>
            <w:tab w:val="left" w:pos="1563"/>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9">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1"/>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1"/>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1"/>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1"/>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1"/>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1"/>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0">
    <w:abstractNumId w:val="5"/>
  </w:num>
  <w:num w:numId="81">
    <w:abstractNumId w:val="4"/>
  </w:num>
  <w:num w:numId="82">
    <w:abstractNumId w:val="4"/>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21"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2624"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1565"/>
          </w:tabs>
          <w:ind w:left="3731"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1565"/>
          </w:tabs>
          <w:ind w:left="4838"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1565"/>
          </w:tabs>
          <w:ind w:left="5944"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1565"/>
          </w:tabs>
          <w:ind w:left="7051"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1565"/>
          </w:tabs>
          <w:ind w:left="8158"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1565"/>
          </w:tabs>
          <w:ind w:left="9264"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num>
  <w:num w:numId="83">
    <w:abstractNumId w:val="4"/>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20" w:hanging="34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2623"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1563"/>
          </w:tabs>
          <w:ind w:left="3730"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1563"/>
          </w:tabs>
          <w:ind w:left="4837"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1563"/>
          </w:tabs>
          <w:ind w:left="5943" w:hanging="34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1563"/>
          </w:tabs>
          <w:ind w:left="7050"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1563"/>
          </w:tabs>
          <w:ind w:left="8157"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1563"/>
          </w:tabs>
          <w:ind w:left="9263"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num>
  <w:num w:numId="84">
    <w:abstractNumId w:val="4"/>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0"/>
            <w:tab w:val="left" w:pos="1563"/>
          </w:tabs>
          <w:ind w:left="2669"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0"/>
            <w:tab w:val="left" w:pos="1563"/>
          </w:tabs>
          <w:ind w:left="3776"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0"/>
            <w:tab w:val="left" w:pos="1563"/>
          </w:tabs>
          <w:ind w:left="4883"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0"/>
            <w:tab w:val="left" w:pos="1563"/>
          </w:tabs>
          <w:ind w:left="5989"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0"/>
            <w:tab w:val="left" w:pos="1563"/>
          </w:tabs>
          <w:ind w:left="7096"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0"/>
            <w:tab w:val="left" w:pos="1563"/>
          </w:tabs>
          <w:ind w:left="8203"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0"/>
            <w:tab w:val="left" w:pos="1563"/>
          </w:tabs>
          <w:ind w:left="9309"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5">
    <w:abstractNumId w:val="4"/>
    <w:lvlOverride w:ilvl="0">
      <w:lvl w:ilvl="0">
        <w:start w:val="1"/>
        <w:numFmt w:val="bullet"/>
        <w:suff w:val="tab"/>
        <w:lvlText w:val="•"/>
        <w:lvlJc w:val="left"/>
        <w:pPr>
          <w:ind w:left="97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62"/>
          </w:tabs>
          <w:ind w:left="1584"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62"/>
          </w:tabs>
          <w:ind w:left="268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62"/>
          </w:tabs>
          <w:ind w:left="3794"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62"/>
          </w:tabs>
          <w:ind w:left="4901"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62"/>
          </w:tabs>
          <w:ind w:left="6007"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62"/>
          </w:tabs>
          <w:ind w:left="7114"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62"/>
          </w:tabs>
          <w:ind w:left="8221"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62"/>
          </w:tabs>
          <w:ind w:left="932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 w:numId="86">
    <w:abstractNumId w:val="4"/>
    <w:lvlOverride w:ilvl="0">
      <w:lvl w:ilvl="0">
        <w:start w:val="1"/>
        <w:numFmt w:val="bullet"/>
        <w:suff w:val="tab"/>
        <w:lvlText w:val="•"/>
        <w:lvlJc w:val="left"/>
        <w:pPr>
          <w:ind w:left="97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0"/>
          </w:tabs>
          <w:ind w:left="1580"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58"/>
            <w:tab w:val="left" w:pos="960"/>
          </w:tabs>
          <w:ind w:left="268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58"/>
            <w:tab w:val="left" w:pos="960"/>
          </w:tabs>
          <w:ind w:left="379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58"/>
            <w:tab w:val="left" w:pos="960"/>
          </w:tabs>
          <w:ind w:left="489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58"/>
            <w:tab w:val="left" w:pos="960"/>
          </w:tabs>
          <w:ind w:left="6003"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58"/>
            <w:tab w:val="left" w:pos="960"/>
          </w:tabs>
          <w:ind w:left="711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58"/>
            <w:tab w:val="left" w:pos="960"/>
          </w:tabs>
          <w:ind w:left="821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58"/>
            <w:tab w:val="left" w:pos="960"/>
          </w:tabs>
          <w:ind w:left="932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 w:numId="87">
    <w:abstractNumId w:val="4"/>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2666"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3773"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880"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986"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7093"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8200"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306"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8">
    <w:abstractNumId w:val="4"/>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ind w:left="1564"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4"/>
          </w:tabs>
          <w:ind w:left="2667"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4"/>
          </w:tabs>
          <w:ind w:left="3774"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4"/>
          </w:tabs>
          <w:ind w:left="4881"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4"/>
          </w:tabs>
          <w:ind w:left="5987"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4"/>
          </w:tabs>
          <w:ind w:left="7094"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4"/>
          </w:tabs>
          <w:ind w:left="8201"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4"/>
          </w:tabs>
          <w:ind w:left="9307"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9">
    <w:abstractNumId w:val="4"/>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num" w:pos="1557"/>
            <w:tab w:val="left" w:pos="1568"/>
          </w:tabs>
          <w:ind w:left="1568" w:hanging="39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57"/>
            <w:tab w:val="left" w:pos="1568"/>
            <w:tab w:val="num" w:pos="2671"/>
          </w:tabs>
          <w:ind w:left="2682"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57"/>
            <w:tab w:val="left" w:pos="1568"/>
            <w:tab w:val="num" w:pos="3778"/>
          </w:tabs>
          <w:ind w:left="3789"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57"/>
            <w:tab w:val="left" w:pos="1568"/>
            <w:tab w:val="num" w:pos="4885"/>
          </w:tabs>
          <w:ind w:left="4896"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57"/>
            <w:tab w:val="left" w:pos="1568"/>
            <w:tab w:val="num" w:pos="5991"/>
          </w:tabs>
          <w:ind w:left="6002" w:hanging="406"/>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57"/>
            <w:tab w:val="left" w:pos="1568"/>
            <w:tab w:val="num" w:pos="7098"/>
          </w:tabs>
          <w:ind w:left="7109"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57"/>
            <w:tab w:val="left" w:pos="1568"/>
            <w:tab w:val="num" w:pos="8205"/>
          </w:tabs>
          <w:ind w:left="8216"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57"/>
            <w:tab w:val="left" w:pos="1568"/>
            <w:tab w:val="num" w:pos="9311"/>
          </w:tabs>
          <w:ind w:left="9322"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90">
    <w:abstractNumId w:val="4"/>
    <w:lvlOverride w:ilvl="0">
      <w:lvl w:ilvl="0">
        <w:start w:val="1"/>
        <w:numFmt w:val="bullet"/>
        <w:suff w:val="tab"/>
        <w:lvlText w:val="•"/>
        <w:lvlJc w:val="left"/>
        <w:pPr>
          <w:ind w:left="97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1"/>
          </w:tabs>
          <w:ind w:left="1580"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58"/>
            <w:tab w:val="left" w:pos="961"/>
          </w:tabs>
          <w:ind w:left="268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58"/>
            <w:tab w:val="left" w:pos="961"/>
          </w:tabs>
          <w:ind w:left="379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58"/>
            <w:tab w:val="left" w:pos="961"/>
          </w:tabs>
          <w:ind w:left="489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58"/>
            <w:tab w:val="left" w:pos="961"/>
          </w:tabs>
          <w:ind w:left="6003"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58"/>
            <w:tab w:val="left" w:pos="961"/>
          </w:tabs>
          <w:ind w:left="711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58"/>
            <w:tab w:val="left" w:pos="961"/>
          </w:tabs>
          <w:ind w:left="821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58"/>
            <w:tab w:val="left" w:pos="961"/>
          </w:tabs>
          <w:ind w:left="932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0" w:after="0" w:line="240" w:lineRule="auto"/>
      <w:ind w:left="354"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4"/>
      <w:szCs w:val="34"/>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6">
    <w:name w:val="heading 6"/>
    <w:next w:val="Body"/>
    <w:pPr>
      <w:keepNext w:val="0"/>
      <w:keepLines w:val="0"/>
      <w:pageBreakBefore w:val="0"/>
      <w:widowControl w:val="0"/>
      <w:shd w:val="clear" w:color="auto" w:fill="auto"/>
      <w:suppressAutoHyphens w:val="0"/>
      <w:bidi w:val="0"/>
      <w:spacing w:before="0" w:after="0" w:line="240" w:lineRule="auto"/>
      <w:ind w:left="363"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7"/>
      <w:szCs w:val="27"/>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5">
    <w:name w:val="heading 5"/>
    <w:next w:val="Body"/>
    <w:pPr>
      <w:keepNext w:val="0"/>
      <w:keepLines w:val="0"/>
      <w:pageBreakBefore w:val="0"/>
      <w:widowControl w:val="0"/>
      <w:shd w:val="clear" w:color="auto" w:fill="auto"/>
      <w:suppressAutoHyphens w:val="0"/>
      <w:bidi w:val="0"/>
      <w:spacing w:before="0" w:after="0" w:line="240" w:lineRule="auto"/>
      <w:ind w:left="363"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6"/>
      </w:numPr>
    </w:pPr>
  </w:style>
  <w:style w:type="paragraph" w:styleId="heading 4">
    <w:name w:val="heading 4"/>
    <w:next w:val="Body"/>
    <w:pPr>
      <w:keepNext w:val="0"/>
      <w:keepLines w:val="0"/>
      <w:pageBreakBefore w:val="0"/>
      <w:widowControl w:val="0"/>
      <w:shd w:val="clear" w:color="auto" w:fill="auto"/>
      <w:suppressAutoHyphens w:val="0"/>
      <w:bidi w:val="0"/>
      <w:spacing w:before="338" w:after="0"/>
      <w:ind w:left="35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74" w:after="0" w:line="240" w:lineRule="auto"/>
      <w:ind w:left="362"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5"/>
      <w:szCs w:val="35"/>
      <w:u w:val="none" w:color="000000"/>
      <w:shd w:val="nil" w:color="auto" w:fill="auto"/>
      <w:vertAlign w:val="baseline"/>
      <w:lang w:val="de-DE"/>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0"/>
      <w:shd w:val="clear" w:color="auto" w:fill="auto"/>
      <w:suppressAutoHyphens w:val="0"/>
      <w:bidi w:val="0"/>
      <w:spacing w:before="327" w:after="0" w:line="240" w:lineRule="auto"/>
      <w:ind w:left="359"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1"/>
      <w:szCs w:val="31"/>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8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