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440bf26da384a1eae99f8b34cc835547eb1e48"/>
    <w:p>
      <w:pPr>
        <w:pStyle w:val="Heading1"/>
      </w:pPr>
      <w:r>
        <w:t xml:space="preserve">ACKNOWLEDGMENT OF ISLAMIC OWNERSHIP ELECTION</w:t>
      </w:r>
    </w:p>
    <w:bookmarkStart w:id="20" w:name="trust_name"/>
    <w:p>
      <w:pPr>
        <w:pStyle w:val="Heading2"/>
      </w:pPr>
      <w:r>
        <w:t xml:space="preserve">{trustName}</w:t>
      </w:r>
    </w:p>
    <w:p>
      <w:pPr>
        <w:pStyle w:val="ReaderNote"/>
      </w:pPr>
      <w:r>
        <w:rPr>
          <w:bCs/>
          <w:b/>
        </w:rPr>
        <w:t xml:space="preserve">In plain language.</w:t>
      </w:r>
      <w:r>
        <w:t xml:space="preserve"> This page records which ownership method you chose in Article Three of your Trust, and confirms that you both understand what that choice does and does not do. You each sign it in front of the notary, at the same time you sign your Trust. It is kept with your Trust.</w:t>
      </w:r>
    </w:p>
    <w:p>
      <w:pPr>
        <w:pStyle w:val="BodyText"/>
      </w:pPr>
      <w:r>
        <w:t xml:space="preserve">This Acknowledgment is executed by both Grantors in connection with, and as part of, the execution of the Trust identified above. It is incorporated into the Trust by reference.</w:t>
      </w:r>
    </w:p>
    <w:bookmarkEnd w:id="20"/>
    <w:bookmarkStart w:id="21" w:name="our-election"/>
    <w:p>
      <w:pPr>
        <w:pStyle w:val="Heading2"/>
      </w:pPr>
      <w:r>
        <w:t xml:space="preserve">1. Our Election</w:t>
      </w:r>
    </w:p>
    <w:p>
      <w:pPr>
        <w:pStyle w:val="FirstParagraph"/>
      </w:pPr>
      <w:r>
        <w:t xml:space="preserve">{#isHeba}</w:t>
      </w:r>
    </w:p>
    <w:p>
      <w:pPr>
        <w:pStyle w:val="BodyText"/>
      </w:pPr>
      <w:r>
        <w:t xml:space="preserve">We have elected the Mutual Heba method under Article Three, Section C-1 of our Trust.</w:t>
      </w:r>
    </w:p>
    <w:p>
      <w:pPr>
        <w:pStyle w:val="BodyText"/>
      </w:pPr>
      <w:r>
        <w:t xml:space="preserve">{/isHeba}</w:t>
      </w:r>
    </w:p>
    <w:p>
      <w:pPr>
        <w:pStyle w:val="BodyText"/>
      </w:pPr>
      <w:r>
        <w:t xml:space="preserve">{^isHeba}</w:t>
      </w:r>
    </w:p>
    <w:p>
      <w:pPr>
        <w:pStyle w:val="BodyText"/>
      </w:pPr>
      <w:r>
        <w:t xml:space="preserve">We have elected the Asset Allocation Declaration method under Article Three, Section C-2 of our Trust, as set out in Schedule A.</w:t>
      </w:r>
    </w:p>
    <w:p>
      <w:pPr>
        <w:pStyle w:val="BodyText"/>
      </w:pPr>
      <w:r>
        <w:t xml:space="preserve">{/isHeba}</w:t>
      </w:r>
    </w:p>
    <w:bookmarkEnd w:id="21"/>
    <w:bookmarkStart w:id="22" w:name="what-our-election-does"/>
    <w:p>
      <w:pPr>
        <w:pStyle w:val="Heading2"/>
      </w:pPr>
      <w:r>
        <w:t xml:space="preserve">2. What Our Election Does</w:t>
      </w:r>
    </w:p>
    <w:p>
      <w:pPr>
        <w:pStyle w:val="FirstParagraph"/>
      </w:pPr>
      <w:r>
        <w:t xml:space="preserve">{#isHeba}</w:t>
      </w:r>
    </w:p>
    <w:p>
      <w:pPr>
        <w:pStyle w:val="BodyText"/>
      </w:pPr>
      <w:r>
        <w:t xml:space="preserve">Under Islamic law, each of us makes a heba — a lifetime gift — of one-half of our interest in all community property to the other. Under Islamic law this gift takes effect when we sign our Trust, is irrevocable, and may not be reclaimed by either of us for any reason, including divorce. The effect is that each of us is treated as owning fifty percent (50%) of all community property when our Islamic inheritance shares are calculated after death.</w:t>
      </w:r>
    </w:p>
    <w:p>
      <w:pPr>
        <w:pStyle w:val="BodyText"/>
      </w:pPr>
      <w:r>
        <w:t xml:space="preserve">{/isHeba}</w:t>
      </w:r>
    </w:p>
    <w:p>
      <w:pPr>
        <w:pStyle w:val="BodyText"/>
      </w:pPr>
      <w:r>
        <w:t xml:space="preserve">{^isHeba}</w:t>
      </w:r>
    </w:p>
    <w:p>
      <w:pPr>
        <w:pStyle w:val="BodyText"/>
      </w:pPr>
      <w:r>
        <w:t xml:space="preserve">Each of us has declared what we believe we Islamically own, as recorded in Schedule A. That declaration determines how each of our Islamic inheritance shares is calculated after death. It is not a gift, and it transfers nothing.</w:t>
      </w:r>
    </w:p>
    <w:p>
      <w:pPr>
        <w:pStyle w:val="BodyText"/>
      </w:pPr>
      <w:r>
        <w:t xml:space="preserve">{/isHeba}</w:t>
      </w:r>
    </w:p>
    <w:bookmarkEnd w:id="22"/>
    <w:bookmarkStart w:id="23" w:name="what-our-election-does-not-do"/>
    <w:p>
      <w:pPr>
        <w:pStyle w:val="Heading2"/>
      </w:pPr>
      <w:r>
        <w:t xml:space="preserve">3. What Our Election Does Not Do</w:t>
      </w:r>
    </w:p>
    <w:p>
      <w:pPr>
        <w:pStyle w:val="FirstParagraph"/>
      </w:pPr>
      <w:r>
        <w:t xml:space="preserve">Our election does not change the ownership of any property under Texas law. Texas law continues to treat our community property as community property, and our separate property remains separate property.</w:t>
      </w:r>
    </w:p>
    <w:p>
      <w:pPr>
        <w:pStyle w:val="BodyText"/>
      </w:pPr>
      <w:r>
        <w:t xml:space="preserve">Our election is not a partition or exchange agreement under Chapter 4 of the Texas Family Code. It is not a premarital or marital property agreement. If we were ever to divorce, a Texas court would divide our property as it otherwise would, and our election would not control that division.</w:t>
      </w:r>
    </w:p>
    <w:bookmarkEnd w:id="23"/>
    <w:bookmarkStart w:id="24" w:name="the-request-at-the-first-death"/>
    <w:p>
      <w:pPr>
        <w:pStyle w:val="Heading2"/>
      </w:pPr>
      <w:r>
        <w:t xml:space="preserve">4. The Request at the First Death</w:t>
      </w:r>
    </w:p>
    <w:p>
      <w:pPr>
        <w:pStyle w:val="FirstParagraph"/>
      </w:pPr>
      <w:r>
        <w:t xml:space="preserve">Our Trust records each of our wishes as to how our property should be distributed after death. Where the Islamic allocation recorded for one of us is larger than what that person actually owned under Texas law, our Trust asks — but does not require — the survivor to contribute the difference.</w:t>
      </w:r>
    </w:p>
    <w:p>
      <w:pPr>
        <w:pStyle w:val="BodyText"/>
      </w:pPr>
      <w:r>
        <w:t xml:space="preserve">We each understand that this decision belongs to the survivor alone, made as an individual and not as Trustee; that declining is not a breach of any duty owed to any beneficiary; that no beneficiary will have any claim against the survivor for declining; and that if no election is delivered within {firstDeathElectionDaysPhrase} after the first death, the Trustee will administer our Trust according to ownership as determined under Texas law.</w:t>
      </w:r>
    </w:p>
    <w:p>
      <w:pPr>
        <w:pStyle w:val="BodyText"/>
      </w:pPr>
      <w:r>
        <w:t xml:space="preserve">We each further understand that a contribution made by the survivor is a transfer of the survivor’s own property and may be a reportable gift for federal gift tax purposes.</w:t>
      </w:r>
    </w:p>
    <w:bookmarkEnd w:id="24"/>
    <w:bookmarkStart w:id="25" w:name="voluntariness"/>
    <w:p>
      <w:pPr>
        <w:pStyle w:val="Heading2"/>
      </w:pPr>
      <w:r>
        <w:t xml:space="preserve">5. Voluntariness</w:t>
      </w:r>
    </w:p>
    <w:p>
      <w:pPr>
        <w:pStyle w:val="FirstParagraph"/>
      </w:pPr>
      <w:r>
        <w:t xml:space="preserve">Each of us signs this Acknowledgment freely and without coercion. Neither of us has been pressured or induced by the other. Each of us understands that we could have declined this election and still completed our Trust.</w:t>
      </w:r>
    </w:p>
    <w:bookmarkEnd w:id="25"/>
    <w:bookmarkStart w:id="26" w:name="X1a38804eae045cf2536c010fd11fdefe3662ea7"/>
    <w:p>
      <w:pPr>
        <w:pStyle w:val="Heading2"/>
      </w:pPr>
      <w:r>
        <w:t xml:space="preserve">6. Joint Representation and Opportunity for Separate Advice</w:t>
      </w:r>
    </w:p>
    <w:p>
      <w:pPr>
        <w:pStyle w:val="FirstParagraph"/>
      </w:pPr>
      <w:r>
        <w:t xml:space="preserve">We understand that McDaniel Estate Planning, PLLC has represented both of us jointly in a limited-scope, app-based engagement, and does not represent either of us against the other.</w:t>
      </w:r>
    </w:p>
    <w:p>
      <w:pPr>
        <w:pStyle w:val="BodyText"/>
      </w:pPr>
      <w:r>
        <w:t xml:space="preserve">We understand that we were offered the opportunity to book a full-service consultation before proceeding, and that an allocation of property that is binding under Texas law would require a separate written agreement and separate legal advice for each of us. We have chosen to proceed with the app-based plan.</w:t>
      </w:r>
    </w:p>
    <w:p>
      <w:pPr>
        <w:pStyle w:val="BodyText"/>
      </w:pPr>
      <w:r>
        <w:br/>
      </w:r>
    </w:p>
    <w:p>
      <w:pPr>
        <w:pStyle w:val="BodyText"/>
      </w:pPr>
      <w:r>
        <w:rPr>
          <w:bCs/>
          <w:b/>
        </w:rPr>
        <w:t xml:space="preserve">IN WITNESS WHEREOF</w:t>
      </w:r>
      <w:r>
        <w:t xml:space="preserve">, each of us has signed this Acknowledgment on the date set forth below.</w:t>
      </w:r>
    </w:p>
    <w:p>
      <w:pPr>
        <w:pStyle w:val="BodyText"/>
      </w:pPr>
      <w:r>
        <w:br/>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_________________________ _________________________</w:t>
            </w:r>
          </w:p>
        </w:tc>
      </w:tr>
      <w:tr>
        <w:tc>
          <w:tcPr/>
          <w:p>
            <w:pPr>
              <w:pStyle w:val="Compact"/>
              <w:jc w:val="left"/>
            </w:pPr>
            <w:r>
              <w:t xml:space="preserve">{husbandFullName}, Grantor {wifeFullName}, Grantor</w:t>
            </w:r>
          </w:p>
        </w:tc>
      </w:tr>
    </w:tbl>
    <w:p>
      <w:pPr>
        <w:pStyle w:val="BodyText"/>
      </w:pPr>
      <w:r>
        <w:br/>
      </w:r>
    </w:p>
    <w:bookmarkEnd w:id="26"/>
    <w:bookmarkStart w:id="27" w:name="notarial-acknowledgment"/>
    <w:p>
      <w:pPr>
        <w:pStyle w:val="Heading2"/>
      </w:pPr>
      <w:r>
        <w:t xml:space="preserve">Notarial Acknowledgment</w:t>
      </w:r>
    </w:p>
    <w:p>
      <w:pPr>
        <w:pStyle w:val="FirstParagraph"/>
      </w:pPr>
      <w:r>
        <w:t xml:space="preserve">STATE OF TEXAS</w:t>
      </w:r>
    </w:p>
    <w:p>
      <w:pPr>
        <w:pStyle w:val="BodyText"/>
      </w:pPr>
      <w:r>
        <w:t xml:space="preserve">COUNTY OF {county}</w:t>
      </w:r>
    </w:p>
    <w:p>
      <w:pPr>
        <w:pStyle w:val="BodyText"/>
      </w:pPr>
      <w:r>
        <w:t xml:space="preserve">This instrument was acknowledged before me on _________________________ by {husbandFullName} and {wifeFullName}, each appearing individually.</w:t>
      </w:r>
    </w:p>
    <w:p>
      <w:pPr>
        <w:pStyle w:val="BodyText"/>
      </w:pPr>
      <w:r>
        <w:br/>
      </w:r>
    </w:p>
    <w:p>
      <w:pPr>
        <w:pStyle w:val="BodyText"/>
      </w:pPr>
      <w:r>
        <w:t xml:space="preserve">_______________________________________</w:t>
      </w:r>
    </w:p>
    <w:p>
      <w:pPr>
        <w:pStyle w:val="BodyText"/>
      </w:pPr>
      <w:r>
        <w:t xml:space="preserve">Notary Public, State of Texas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aderNote" w:type="paragraph">
    <w:name w:val="Reader Note"/>
    <w:basedOn w:val="BodyText"/>
    <w:qFormat/>
    <w:pPr>
      <w:pBdr>
        <w:left w:color="3F6B52" w:space="6" w:sz="18" w:val="single"/>
      </w:pBdr>
      <w:shd w:color="auto" w:fill="F4F1E8" w:val="clear"/>
      <w:spacing w:after="160" w:before="160"/>
      <w:ind w:left="288" w:right="288"/>
    </w:pPr>
    <w:rPr>
      <w:i/>
      <w:sz w:val="19"/>
    </w:rPr>
  </w:style>
  <w:style w:customStyle="1" w:styleId="TrusteeNote" w:type="paragraph">
    <w:name w:val="Trustee Note"/>
    <w:basedOn w:val="BodyText"/>
    <w:qFormat/>
    <w:pPr>
      <w:pBdr>
        <w:left w:color="8A6A2F" w:space="6" w:sz="18" w:val="single"/>
      </w:pBdr>
      <w:shd w:color="auto" w:fill="EFEFE4" w:val="clear"/>
      <w:spacing w:after="160" w:before="160"/>
      <w:ind w:left="288" w:right="288"/>
    </w:pPr>
    <w:rPr>
      <w: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2026-08-05T00:45:50Z</dcterms:created>
  <dcterms:modified xsi:type="dcterms:W3CDTF">2026-08-05T00:45:50Z</dcterms:modified>
</cp:coreProperties>
</file>

<file path=docProps/custom.xml><?xml version="1.0" encoding="utf-8"?>
<Properties xmlns="http://schemas.openxmlformats.org/officeDocument/2006/custom-properties" xmlns:vt="http://schemas.openxmlformats.org/officeDocument/2006/docPropsVTypes"/>
</file>