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pPr>
      <w:r>
        <w:rPr>
          <w:rtl w:val="0"/>
          <w:lang w:val="en-US"/>
        </w:rPr>
        <w:t xml:space="preserve">The {trustName} Joint Revocable Living Trust: A </w:t>
      </w:r>
      <w:r>
        <w:rPr>
          <w:rtl w:val="0"/>
          <w:lang w:val="en-US"/>
        </w:rPr>
        <w:t>“</w:t>
      </w:r>
      <w:r>
        <w:rPr>
          <w:rtl w:val="0"/>
          <w:lang w:val="en-US"/>
        </w:rPr>
        <w:t>qualifying trust</w:t>
      </w:r>
      <w:r>
        <w:rPr>
          <w:rtl w:val="0"/>
          <w:lang w:val="en-US"/>
        </w:rPr>
        <w:t xml:space="preserve">” </w:t>
      </w:r>
      <w:r>
        <w:rPr>
          <w:rtl w:val="0"/>
          <w:lang w:val="en-US"/>
        </w:rPr>
        <w:t>within the meaning of Section 11.13(j)(3) of the Texas Tax Code and Section 41.0021 of the Texas Property Code.</w:t>
      </w:r>
    </w:p>
    <w:p>
      <w:pPr>
        <w:pStyle w:val="Body Text"/>
      </w:pPr>
      <w:r>
        <w:rPr>
          <w:rtl w:val="0"/>
          <w:lang w:val="en-US"/>
        </w:rPr>
        <w:t xml:space="preserve">Please see the second page of this Trust Agreement, Article One, Section C, for all provisions that make this a </w:t>
      </w:r>
      <w:r>
        <w:rPr>
          <w:rFonts w:ascii="Cambria Bold" w:hAnsi="Cambria Bold"/>
          <w:rtl w:val="0"/>
          <w:lang w:val="en-US"/>
        </w:rPr>
        <w:t>Qualifying Trust</w:t>
      </w:r>
    </w:p>
    <w:p>
      <w:pPr>
        <w:pStyle w:val="Body Text"/>
      </w:pPr>
      <w:r>
        <w:rPr>
          <w:rtl w:val="0"/>
          <w:lang w:val="en-US"/>
        </w:rPr>
        <w:t xml:space="preserve">We, {husbandFullName} and {wifeFullName}, of {county} County, Texas (the </w:t>
      </w:r>
      <w:r>
        <w:rPr>
          <w:rtl w:val="0"/>
        </w:rPr>
        <w:t>“</w:t>
      </w:r>
      <w:r>
        <w:rPr>
          <w:rtl w:val="0"/>
        </w:rPr>
        <w:t>Grantors</w:t>
      </w:r>
      <w:r>
        <w:rPr>
          <w:rtl w:val="0"/>
        </w:rPr>
        <w:t>”</w:t>
      </w:r>
      <w:r>
        <w:rPr>
          <w:rtl w:val="0"/>
        </w:rPr>
        <w:t>), hereby transfer to {husbandFullName} and {wifeFullName}, as trustees, the property identified in the attached Schedule of Property. All such property, together with any property later transferred to this Trust and all income and reinvestments thereof, shall be held and administered according to the terms of this Trust.</w:t>
      </w:r>
    </w:p>
    <w:p>
      <w:pPr>
        <w:pStyle w:val="Body Text"/>
      </w:pPr>
      <w:r>
        <w:rPr>
          <w:rFonts w:ascii="Cambria Bold" w:hAnsi="Cambria Bold"/>
          <w:rtl w:val="0"/>
          <w:lang w:val="en-US"/>
        </w:rPr>
        <w:t>How to Read This Trust</w:t>
      </w:r>
    </w:p>
    <w:p>
      <w:pPr>
        <w:pStyle w:val="Reader Note"/>
      </w:pPr>
      <w:r>
        <w:rPr>
          <w:rtl w:val="0"/>
          <w:lang w:val="en-US"/>
        </w:rPr>
        <w:t xml:space="preserve">Throughout this document you will find boxed notes labeled </w:t>
      </w:r>
      <w:r>
        <w:rPr>
          <w:rtl w:val="0"/>
          <w:lang w:val="en-US"/>
        </w:rPr>
        <w:t>In plain language</w:t>
      </w:r>
      <w:r>
        <w:rPr>
          <w:rtl w:val="0"/>
          <w:lang w:val="en-US"/>
        </w:rPr>
        <w:t xml:space="preserve"> and </w:t>
      </w:r>
      <w:r>
        <w:rPr>
          <w:rtl w:val="0"/>
          <w:lang w:val="en-US"/>
        </w:rPr>
        <w:t>Note to the Trustee</w:t>
      </w:r>
      <w:r>
        <w:rPr>
          <w:rtl w:val="0"/>
          <w:lang w:val="en-US"/>
        </w:rPr>
        <w:t>. They are here because the people who will one day need to use this Trust are usually not lawyers.</w:t>
      </w:r>
    </w:p>
    <w:p>
      <w:pPr>
        <w:pStyle w:val="Reader Note"/>
      </w:pPr>
      <w:r>
        <w:rPr>
          <w:rtl w:val="0"/>
          <w:lang w:val="en-US"/>
        </w:rPr>
        <w:t>These notes are explanatory only. They are not part of the dispositive or operative terms of this Trust. They create no rights, powers, duties, or obligations, and they neither modify, limit, nor expand any provision of this Trust. If a note and the operative text of this Trust ever conflict, the operative text governs. Headings and captions are likewise for convenience of reference only.</w:t>
      </w:r>
    </w:p>
    <w:p>
      <w:pPr>
        <w:pStyle w:val="Heading"/>
      </w:pPr>
      <w:bookmarkStart w:name="articleone" w:id="0"/>
      <w:r>
        <w:rPr>
          <w:rFonts w:cs="Arial Unicode MS" w:eastAsia="Arial Unicode MS"/>
          <w:rtl w:val="0"/>
          <w:lang w:val="de-DE"/>
        </w:rPr>
        <w:t>ARTICLE ONE</w:t>
      </w:r>
      <w:bookmarkEnd w:id="0"/>
    </w:p>
    <w:p>
      <w:pPr>
        <w:pStyle w:val="Heading 2"/>
      </w:pPr>
      <w:bookmarkStart w:name="X8bce1ba43e4eff0fcb2291840ed1f2dcefa7332" w:id="1"/>
      <w:r>
        <w:rPr>
          <w:rFonts w:cs="Arial Unicode MS" w:eastAsia="Arial Unicode MS"/>
          <w:rtl w:val="0"/>
          <w:lang w:val="en-US"/>
        </w:rPr>
        <w:t>Identifying our Trust, Reliance upon our Trust by Third Parties, Qualifying Trust</w:t>
      </w:r>
    </w:p>
    <w:p>
      <w:pPr>
        <w:pStyle w:val="Reader Note"/>
      </w:pPr>
      <w:r>
        <w:rPr>
          <w:rFonts w:ascii="Cambria Bold" w:hAnsi="Cambria Bold"/>
          <w:i w:val="1"/>
          <w:iCs w:val="1"/>
          <w:rtl w:val="0"/>
          <w:lang w:val="en-US"/>
        </w:rPr>
        <w:t>In plain language.</w:t>
      </w:r>
      <w:r>
        <w:rPr>
          <w:rtl w:val="0"/>
          <w:lang w:val="en-US"/>
        </w:rPr>
        <w:t xml:space="preserve"> This Article gives the Trust its official name and tells banks, title companies, and other institutions that they may rely on it. Use the name exactly as written here on every deed, account, and beneficiary designation. A mismatch between the name on an asset and the name here is the most common reason a trust fails to work.</w:t>
      </w:r>
    </w:p>
    <w:p>
      <w:pPr>
        <w:pStyle w:val="Compact"/>
        <w:numPr>
          <w:ilvl w:val="0"/>
          <w:numId w:val="2"/>
        </w:numPr>
        <w:rPr>
          <w:lang w:val="en-US"/>
        </w:rPr>
      </w:pPr>
      <w:r>
        <w:rPr>
          <w:rFonts w:ascii="Cambria Bold" w:hAnsi="Cambria Bold"/>
          <w:u w:val="single"/>
          <w:rtl w:val="0"/>
          <w:lang w:val="en-US"/>
        </w:rPr>
        <w:t>Identifying our Trust:</w:t>
      </w:r>
      <w:r>
        <w:rPr>
          <w:rtl w:val="0"/>
          <w:lang w:val="en-US"/>
        </w:rPr>
        <w:t xml:space="preserve"> This instrument, as from time to time amended, may be designated the:</w:t>
      </w:r>
    </w:p>
    <w:p>
      <w:pPr>
        <w:pStyle w:val="First Paragraph"/>
      </w:pPr>
      <w:r>
        <w:rPr>
          <w:rtl w:val="0"/>
          <w:lang w:val="en-US"/>
        </w:rPr>
        <w:t>“</w:t>
      </w:r>
      <w:r>
        <w:rPr>
          <w:rtl w:val="0"/>
          <w:lang w:val="en-US"/>
        </w:rPr>
        <w:t>The {trustName} Joint Revocable Living Trust.</w:t>
      </w:r>
      <w:r>
        <w:rPr>
          <w:rtl w:val="0"/>
          <w:lang w:val="en-US"/>
        </w:rPr>
        <w:t>”</w:t>
      </w:r>
    </w:p>
    <w:p>
      <w:pPr>
        <w:pStyle w:val="Body Text"/>
      </w:pPr>
      <w:r>
        <w:rPr>
          <w:rtl w:val="0"/>
          <w:lang w:val="en-US"/>
        </w:rPr>
        <w:t>For purposes of transferring property to this Trust or identifying it in beneficiary designations, the Trust may be identified as:</w:t>
      </w:r>
    </w:p>
    <w:p>
      <w:pPr>
        <w:pStyle w:val="Body Text"/>
      </w:pPr>
      <w:r>
        <w:rPr>
          <w:rtl w:val="0"/>
          <w:lang w:val="en-US"/>
        </w:rPr>
        <w:t>“</w:t>
      </w:r>
      <w:r>
        <w:rPr>
          <w:rtl w:val="0"/>
          <w:lang w:val="en-US"/>
        </w:rPr>
        <w:t>{husbandFullName} AND {wifeFullName}, TRUSTEES OF THE {trustName} JOINT REVOCABLE LIVING TRUST, AND ANY AMENDMENTS THERETO.</w:t>
      </w:r>
      <w:r>
        <w:rPr>
          <w:rtl w:val="0"/>
        </w:rPr>
        <w:t>”</w:t>
      </w:r>
    </w:p>
    <w:p>
      <w:pPr>
        <w:pStyle w:val="Compact"/>
        <w:numPr>
          <w:ilvl w:val="0"/>
          <w:numId w:val="5"/>
        </w:numPr>
        <w:rPr>
          <w:lang w:val="en-US"/>
        </w:rPr>
      </w:pPr>
      <w:r>
        <w:rPr>
          <w:rFonts w:ascii="Cambria Bold" w:hAnsi="Cambria Bold"/>
          <w:u w:val="single"/>
          <w:rtl w:val="0"/>
          <w:lang w:val="en-US"/>
        </w:rPr>
        <w:t>Third Party Reliance</w:t>
      </w:r>
      <w:r>
        <w:rPr>
          <w:rtl w:val="0"/>
          <w:lang w:val="en-US"/>
        </w:rPr>
        <w:t>: Any person or institution dealing with the Trustee may rely upon a certification of trust or written representation by the Trustee as to the existence of this Trust and the Trustee</w:t>
      </w:r>
      <w:r>
        <w:rPr>
          <w:rtl w:val="0"/>
          <w:lang w:val="en-US"/>
        </w:rPr>
        <w:t>’</w:t>
      </w:r>
      <w:r>
        <w:rPr>
          <w:rtl w:val="0"/>
          <w:lang w:val="en-US"/>
        </w:rPr>
        <w:t>s authority. No person dealing with the Trustee shall be required to inquire into the propriety of any action taken by the Trustee or the application of trust assets.</w:t>
      </w:r>
    </w:p>
    <w:p>
      <w:pPr>
        <w:pStyle w:val="First Paragraph"/>
      </w:pPr>
      <w:r>
        <w:rPr>
          <w:rtl w:val="0"/>
          <w:lang w:val="en-US"/>
        </w:rPr>
        <w:t>A certification by the Trustee that the Trustee is acting in accordance with this Trust shall be conclusive in favor of any person relying upon it.</w:t>
      </w:r>
    </w:p>
    <w:p>
      <w:pPr>
        <w:pStyle w:val="Compact"/>
        <w:numPr>
          <w:ilvl w:val="0"/>
          <w:numId w:val="8"/>
        </w:numPr>
        <w:rPr>
          <w:lang w:val="en-US"/>
        </w:rPr>
      </w:pPr>
      <w:r>
        <w:rPr>
          <w:rFonts w:ascii="Cambria Bold" w:hAnsi="Cambria Bold"/>
          <w:u w:val="single"/>
          <w:rtl w:val="0"/>
          <w:lang w:val="en-US"/>
        </w:rPr>
        <w:t>Qualifying Trust under Texas Law:</w:t>
      </w:r>
      <w:r>
        <w:rPr>
          <w:rtl w:val="0"/>
          <w:lang w:val="en-US"/>
        </w:rPr>
        <w:t xml:space="preserve"> The Grantors intend that this Trust constitute a </w:t>
      </w:r>
      <w:r>
        <w:rPr>
          <w:rtl w:val="0"/>
          <w:lang w:val="en-US"/>
        </w:rPr>
        <w:t>“</w:t>
      </w:r>
      <w:r>
        <w:rPr>
          <w:rtl w:val="0"/>
          <w:lang w:val="en-US"/>
        </w:rPr>
        <w:t>qualifying trust</w:t>
      </w:r>
      <w:r>
        <w:rPr>
          <w:rtl w:val="0"/>
          <w:lang w:val="en-US"/>
        </w:rPr>
        <w:t xml:space="preserve">” </w:t>
      </w:r>
      <w:r>
        <w:rPr>
          <w:rtl w:val="0"/>
          <w:lang w:val="en-US"/>
        </w:rPr>
        <w:t>within the meaning of Section 11.13(j)(3) of the Texas Tax Code and Section 41.0021 of the Texas Property Code. The Grantors expressly reserve and retain the exclusive right to use and occupy the real property identified in Schedule A (as amended from time to time) as their principal residence, rent-free except for ordinary taxes, insurance, and maintenance expenses, for so long as either Grantor is living and this Trust remains in effect.</w:t>
      </w:r>
    </w:p>
    <w:p>
      <w:pPr>
        <w:pStyle w:val="Block Text"/>
      </w:pPr>
      <w:r>
        <w:rPr>
          <w:rtl w:val="0"/>
          <w:lang w:val="en-US"/>
        </w:rPr>
        <w:t>The Grantors further declare that this Trust is revocable and that they retain a present beneficial interest in the residence sufficient to maintain all property-tax benefits and exemptions under Texas law, including but not limited to:</w:t>
      </w:r>
    </w:p>
    <w:p>
      <w:pPr>
        <w:pStyle w:val="Body"/>
        <w:numPr>
          <w:ilvl w:val="0"/>
          <w:numId w:val="10"/>
        </w:numPr>
        <w:rPr>
          <w:lang w:val="en-US"/>
        </w:rPr>
      </w:pPr>
      <w:r>
        <w:rPr>
          <w:rtl w:val="0"/>
          <w:lang w:val="en-US"/>
        </w:rPr>
        <w:t xml:space="preserve">The general residence-homestead exemption under Texas Tax Code </w:t>
      </w:r>
      <w:r>
        <w:rPr>
          <w:rtl w:val="0"/>
        </w:rPr>
        <w:t xml:space="preserve">§ </w:t>
      </w:r>
      <w:r>
        <w:rPr>
          <w:rtl w:val="0"/>
          <w:lang w:val="it-IT"/>
        </w:rPr>
        <w:t>11.13(b);</w:t>
      </w:r>
    </w:p>
    <w:p>
      <w:pPr>
        <w:pStyle w:val="Body"/>
        <w:numPr>
          <w:ilvl w:val="0"/>
          <w:numId w:val="10"/>
        </w:numPr>
        <w:rPr>
          <w:lang w:val="en-US"/>
        </w:rPr>
      </w:pPr>
      <w:r>
        <w:rPr>
          <w:rtl w:val="0"/>
          <w:lang w:val="en-US"/>
        </w:rPr>
        <w:t xml:space="preserve">The additional exemption for persons age 65 or older or disabled under </w:t>
      </w:r>
      <w:r>
        <w:rPr>
          <w:rtl w:val="0"/>
        </w:rPr>
        <w:t xml:space="preserve">§ </w:t>
      </w:r>
      <w:r>
        <w:rPr>
          <w:rtl w:val="0"/>
          <w:lang w:val="it-IT"/>
        </w:rPr>
        <w:t>11.13(c)</w:t>
      </w:r>
      <w:r>
        <w:rPr>
          <w:rtl w:val="0"/>
        </w:rPr>
        <w:t>–</w:t>
      </w:r>
      <w:r>
        <w:rPr>
          <w:rtl w:val="0"/>
        </w:rPr>
        <w:t>(d);</w:t>
      </w:r>
    </w:p>
    <w:p>
      <w:pPr>
        <w:pStyle w:val="Body"/>
        <w:numPr>
          <w:ilvl w:val="0"/>
          <w:numId w:val="10"/>
        </w:numPr>
        <w:rPr>
          <w:lang w:val="en-US"/>
        </w:rPr>
      </w:pPr>
      <w:r>
        <w:rPr>
          <w:rtl w:val="0"/>
          <w:lang w:val="en-US"/>
        </w:rPr>
        <w:t>The school-district tax limitation (</w:t>
      </w:r>
      <w:r>
        <w:rPr>
          <w:rtl w:val="1"/>
          <w:lang w:val="ar-SA" w:bidi="ar-SA"/>
        </w:rPr>
        <w:t>“</w:t>
      </w:r>
      <w:r>
        <w:rPr>
          <w:rtl w:val="0"/>
          <w:lang w:val="en-US"/>
        </w:rPr>
        <w:t>tax ceiling</w:t>
      </w:r>
      <w:r>
        <w:rPr>
          <w:rtl w:val="0"/>
        </w:rPr>
        <w:t>”</w:t>
      </w:r>
      <w:r>
        <w:rPr>
          <w:rtl w:val="0"/>
          <w:lang w:val="de-DE"/>
        </w:rPr>
        <w:t xml:space="preserve">) under </w:t>
      </w:r>
      <w:r>
        <w:rPr>
          <w:rtl w:val="0"/>
        </w:rPr>
        <w:t xml:space="preserve">§ </w:t>
      </w:r>
      <w:r>
        <w:rPr>
          <w:rtl w:val="0"/>
          <w:lang w:val="en-US"/>
        </w:rPr>
        <w:t>11.26; and</w:t>
      </w:r>
    </w:p>
    <w:p>
      <w:pPr>
        <w:pStyle w:val="Body"/>
        <w:numPr>
          <w:ilvl w:val="0"/>
          <w:numId w:val="10"/>
        </w:numPr>
        <w:rPr>
          <w:lang w:val="en-US"/>
        </w:rPr>
      </w:pPr>
      <w:r>
        <w:rPr>
          <w:rtl w:val="0"/>
          <w:lang w:val="en-US"/>
        </w:rPr>
        <w:t>Any local-option exemptions adopted by the applicable taxing units.</w:t>
      </w:r>
    </w:p>
    <w:p>
      <w:pPr>
        <w:pStyle w:val="Block Text"/>
      </w:pPr>
      <w:r>
        <w:rPr>
          <w:rtl w:val="0"/>
          <w:lang w:val="en-US"/>
        </w:rPr>
        <w:t xml:space="preserve">It is the express intent of the Grantors that the conveyance of their residence into this Trust shall </w:t>
      </w:r>
      <w:r>
        <w:rPr>
          <w:rFonts w:ascii="Cambria Bold" w:hAnsi="Cambria Bold"/>
          <w:rtl w:val="0"/>
          <w:lang w:val="en-US"/>
        </w:rPr>
        <w:t>not affect, terminate, or suspend</w:t>
      </w:r>
      <w:r>
        <w:rPr>
          <w:rtl w:val="0"/>
          <w:lang w:val="en-US"/>
        </w:rPr>
        <w:t xml:space="preserve"> any existing or future homestead, over-65, or disabled exemptions or any limitation on ad valorem taxes. The Trustee is authorized and directed to execute and deliver any affidavits or certifications necessary to maintain such exemptions and to list the property in the name of the Grantors pursuant to Texas Tax Code </w:t>
      </w:r>
      <w:r>
        <w:rPr>
          <w:rtl w:val="0"/>
          <w:lang w:val="en-US"/>
        </w:rPr>
        <w:t xml:space="preserve">§ </w:t>
      </w:r>
      <w:r>
        <w:rPr>
          <w:rtl w:val="0"/>
          <w:lang w:val="en-US"/>
        </w:rPr>
        <w:t>25.135.</w:t>
      </w:r>
      <w:bookmarkEnd w:id="1"/>
    </w:p>
    <w:p>
      <w:pPr>
        <w:pStyle w:val="Heading"/>
      </w:pPr>
      <w:bookmarkStart w:name="articletwo" w:id="2"/>
      <w:r>
        <w:rPr>
          <w:rFonts w:cs="Arial Unicode MS" w:eastAsia="Arial Unicode MS"/>
          <w:rtl w:val="0"/>
          <w:lang w:val="de-DE"/>
        </w:rPr>
        <w:t>ARTICLE TWO</w:t>
      </w:r>
      <w:bookmarkEnd w:id="2"/>
    </w:p>
    <w:p>
      <w:pPr>
        <w:pStyle w:val="Heading 2"/>
      </w:pPr>
      <w:bookmarkStart w:name="powersreservedbyusasgrantors" w:id="3"/>
      <w:r>
        <w:rPr>
          <w:rFonts w:cs="Arial Unicode MS" w:eastAsia="Arial Unicode MS"/>
          <w:rtl w:val="0"/>
          <w:lang w:val="en-US"/>
        </w:rPr>
        <w:t>Powers Reserved by Us as Grantors</w:t>
      </w:r>
    </w:p>
    <w:p>
      <w:pPr>
        <w:pStyle w:val="Reader Note"/>
      </w:pPr>
      <w:r>
        <w:rPr>
          <w:rFonts w:ascii="Cambria Bold" w:hAnsi="Cambria Bold"/>
          <w:i w:val="1"/>
          <w:iCs w:val="1"/>
          <w:rtl w:val="0"/>
          <w:lang w:val="en-US"/>
        </w:rPr>
        <w:t>In plain language.</w:t>
      </w:r>
      <w:r>
        <w:rPr>
          <w:rtl w:val="0"/>
          <w:lang w:val="en-US"/>
        </w:rPr>
        <w:t xml:space="preserve"> While both spouses are alive, this Article keeps them in control. They may amend the Trust, revoke it, take property back out of it, and act on its behalf without anyone else</w:t>
      </w:r>
      <w:r>
        <w:rPr>
          <w:rtl w:val="0"/>
          <w:lang w:val="en-US"/>
        </w:rPr>
        <w:t>’</w:t>
      </w:r>
      <w:r>
        <w:rPr>
          <w:rtl w:val="0"/>
          <w:lang w:val="en-US"/>
        </w:rPr>
        <w:t>s permission.</w:t>
      </w:r>
    </w:p>
    <w:p>
      <w:pPr>
        <w:pStyle w:val="Body"/>
        <w:numPr>
          <w:ilvl w:val="0"/>
          <w:numId w:val="11"/>
        </w:numPr>
        <w:rPr>
          <w:lang w:val="en-US"/>
        </w:rPr>
      </w:pPr>
      <w:r>
        <w:rPr>
          <w:rFonts w:ascii="Cambria Bold" w:hAnsi="Cambria Bold"/>
          <w:u w:val="single"/>
          <w:rtl w:val="0"/>
          <w:lang w:val="en-US"/>
        </w:rPr>
        <w:t>Powers Reserved by the Grantors:</w:t>
      </w:r>
      <w:r>
        <w:rPr>
          <w:rtl w:val="0"/>
          <w:lang w:val="en-US"/>
        </w:rPr>
        <w:t xml:space="preserve"> The Grantors retain the rights and powers set forth in this Article, in addition to any rights reserved elsewhere in this Trust Agreement.</w:t>
      </w:r>
    </w:p>
    <w:p>
      <w:pPr>
        <w:pStyle w:val="Body"/>
        <w:numPr>
          <w:ilvl w:val="0"/>
          <w:numId w:val="2"/>
        </w:numPr>
        <w:rPr>
          <w:lang w:val="en-US"/>
        </w:rPr>
      </w:pPr>
      <w:r>
        <w:rPr>
          <w:rFonts w:ascii="Cambria Bold" w:hAnsi="Cambria Bold"/>
          <w:u w:val="single"/>
          <w:rtl w:val="0"/>
          <w:lang w:val="en-US"/>
        </w:rPr>
        <w:t>Action on Behalf of our Trust:</w:t>
      </w:r>
      <w:r>
        <w:rPr>
          <w:rtl w:val="0"/>
          <w:lang w:val="en-US"/>
        </w:rPr>
        <w:t xml:space="preserve"> Whenever both of us are serving as Trustee, either or both of us may act for and conduct business on behalf of our trust without the consent of any other Trustee. Whenever one of us is alive but not serving as Trustee, and the other is serving as Trustee, the one who is serving as Trustee may act for and conduct business on behalf of our trust without the consent of any other Trustee. After one of us dies, the ability of the survivor of us, when serving as Trustee, to conduct business on behalf of us without the consent of any other Trustee is subject to the terms and conditions of our trust.</w:t>
      </w:r>
    </w:p>
    <w:p>
      <w:pPr>
        <w:pStyle w:val="Body"/>
        <w:numPr>
          <w:ilvl w:val="0"/>
          <w:numId w:val="2"/>
        </w:numPr>
        <w:rPr>
          <w:lang w:val="en-US"/>
        </w:rPr>
      </w:pPr>
      <w:r>
        <w:rPr>
          <w:rFonts w:ascii="Cambria Bold" w:hAnsi="Cambria Bold"/>
          <w:u w:val="single"/>
          <w:rtl w:val="0"/>
          <w:lang w:val="en-US"/>
        </w:rPr>
        <w:t>Revocation:</w:t>
      </w:r>
      <w:r>
        <w:rPr>
          <w:rtl w:val="0"/>
          <w:lang w:val="en-US"/>
        </w:rPr>
        <w:t xml:space="preserve"> During the joint lifetimes of the Grantors, this Trust may be revoked in whole or in part by a written instrument signed by both Grantors and delivered to the Trustee. Upon the death of the first Grantor to die, this Trust shall become irrevocable as to that Grantor</w:t>
      </w:r>
      <w:r>
        <w:rPr>
          <w:rtl w:val="1"/>
        </w:rPr>
        <w:t>’</w:t>
      </w:r>
      <w:r>
        <w:rPr>
          <w:rtl w:val="0"/>
          <w:lang w:val="en-US"/>
        </w:rPr>
        <w:t>s property, but shall remain revocable and amendable by the surviving Grantor as to the surviving Grantor</w:t>
      </w:r>
      <w:r>
        <w:rPr>
          <w:rtl w:val="1"/>
        </w:rPr>
        <w:t>’</w:t>
      </w:r>
      <w:r>
        <w:rPr>
          <w:rtl w:val="0"/>
          <w:lang w:val="en-US"/>
        </w:rPr>
        <w:t>s property.</w:t>
      </w:r>
    </w:p>
    <w:p>
      <w:pPr>
        <w:pStyle w:val="Body"/>
        <w:numPr>
          <w:ilvl w:val="0"/>
          <w:numId w:val="2"/>
        </w:numPr>
        <w:rPr>
          <w:lang w:val="en-US"/>
        </w:rPr>
      </w:pPr>
      <w:r>
        <w:rPr>
          <w:rFonts w:ascii="Cambria Bold" w:hAnsi="Cambria Bold"/>
          <w:u w:val="single"/>
          <w:rtl w:val="0"/>
          <w:lang w:val="en-US"/>
        </w:rPr>
        <w:t>Amendment:</w:t>
      </w:r>
      <w:r>
        <w:rPr>
          <w:rtl w:val="0"/>
          <w:lang w:val="en-US"/>
        </w:rPr>
        <w:t xml:space="preserve"> During the joint lifetimes of the Grantors, this Trust may be amended in whole or in part by a written instrument signed by both Grantors and delivered to the Trustee.</w:t>
      </w:r>
    </w:p>
    <w:p>
      <w:pPr>
        <w:pStyle w:val="Block Text"/>
      </w:pPr>
      <w:r>
        <w:rPr>
          <w:rtl w:val="0"/>
          <w:lang w:val="en-US"/>
        </w:rPr>
        <w:t>After the death of the first Grantor, the surviving Grantor may amend the Trust only with respect to the surviving Grantor</w:t>
      </w:r>
      <w:r>
        <w:rPr>
          <w:rtl w:val="0"/>
          <w:lang w:val="en-US"/>
        </w:rPr>
        <w:t>’</w:t>
      </w:r>
      <w:r>
        <w:rPr>
          <w:rtl w:val="0"/>
          <w:lang w:val="en-US"/>
        </w:rPr>
        <w:t>s separate property and the Survivor</w:t>
      </w:r>
      <w:r>
        <w:rPr>
          <w:rtl w:val="0"/>
          <w:lang w:val="en-US"/>
        </w:rPr>
        <w:t>’</w:t>
      </w:r>
      <w:r>
        <w:rPr>
          <w:rtl w:val="0"/>
          <w:lang w:val="en-US"/>
        </w:rPr>
        <w:t>s Trust established under this instrument.</w:t>
      </w:r>
    </w:p>
    <w:p>
      <w:pPr>
        <w:pStyle w:val="Body"/>
        <w:numPr>
          <w:ilvl w:val="0"/>
          <w:numId w:val="14"/>
        </w:numPr>
        <w:rPr>
          <w:lang w:val="en-US"/>
        </w:rPr>
      </w:pPr>
      <w:r>
        <w:rPr>
          <w:rFonts w:ascii="Cambria Bold" w:hAnsi="Cambria Bold"/>
          <w:u w:val="single"/>
          <w:rtl w:val="0"/>
          <w:lang w:val="en-US"/>
        </w:rPr>
        <w:t>Addition or Removal of Trust Property:</w:t>
      </w:r>
      <w:r>
        <w:rPr>
          <w:rtl w:val="0"/>
          <w:lang w:val="en-US"/>
        </w:rPr>
        <w:t xml:space="preserve"> Either of us may add property to our trust or may direct the trustee to do so. Both of us, acting jointly may remove any property from our trust or direct the trustee to do so. Each of us, acting alone, may remove our own separate property from our trust or direct the trustee to do so.</w:t>
      </w:r>
    </w:p>
    <w:p>
      <w:pPr>
        <w:pStyle w:val="Body"/>
        <w:numPr>
          <w:ilvl w:val="0"/>
          <w:numId w:val="13"/>
        </w:numPr>
        <w:rPr>
          <w:lang w:val="en-US"/>
        </w:rPr>
      </w:pPr>
      <w:r>
        <w:rPr>
          <w:rFonts w:ascii="Cambria Bold" w:hAnsi="Cambria Bold"/>
          <w:u w:val="single"/>
          <w:rtl w:val="0"/>
          <w:lang w:val="en-US"/>
        </w:rPr>
        <w:t>Control of Income and Principal Distributions:</w:t>
      </w:r>
      <w:r>
        <w:rPr>
          <w:rtl w:val="0"/>
          <w:lang w:val="en-US"/>
        </w:rPr>
        <w:t xml:space="preserve"> We retain the right to control the distribution of income and principal from our trust. We may direct our Trustee to distribute as much of the net income and principal of the trust property as we consider advisable to us or to other persons or entities. Our Trustee may distribute the net income and principal to us or for our unrestricted use and benefit, even to the exhaustion of all trust property. Any undistributed net income is to be added to the principal of our trust.</w:t>
      </w:r>
    </w:p>
    <w:p>
      <w:pPr>
        <w:pStyle w:val="Body"/>
        <w:numPr>
          <w:ilvl w:val="0"/>
          <w:numId w:val="13"/>
        </w:numPr>
        <w:rPr>
          <w:lang w:val="en-US"/>
        </w:rPr>
      </w:pPr>
      <w:r>
        <w:rPr>
          <w:rFonts w:ascii="Cambria Bold" w:hAnsi="Cambria Bold"/>
          <w:u w:val="single"/>
          <w:rtl w:val="0"/>
          <w:lang w:val="en-US"/>
        </w:rPr>
        <w:t>Grantor Trust Status:</w:t>
      </w:r>
      <w:r>
        <w:rPr>
          <w:rtl w:val="0"/>
          <w:lang w:val="en-US"/>
        </w:rPr>
        <w:t xml:space="preserve"> This Trust is intended to qualify as a </w:t>
      </w:r>
      <w:r>
        <w:rPr>
          <w:rtl w:val="1"/>
          <w:lang w:val="ar-SA" w:bidi="ar-SA"/>
        </w:rPr>
        <w:t>“</w:t>
      </w:r>
      <w:r>
        <w:rPr>
          <w:rtl w:val="0"/>
          <w:lang w:val="en-US"/>
        </w:rPr>
        <w:t>grantor trust</w:t>
      </w:r>
      <w:r>
        <w:rPr>
          <w:rtl w:val="0"/>
        </w:rPr>
        <w:t xml:space="preserve">” </w:t>
      </w:r>
      <w:r>
        <w:rPr>
          <w:rtl w:val="0"/>
          <w:lang w:val="en-US"/>
        </w:rPr>
        <w:t>for federal income tax purposes during the lifetime of the Grantors. Accordingly, all items of income, deduction, and credit shall be reportable by the Grantors individually to the extent required under applicable law. The Trust may use either Grantor</w:t>
      </w:r>
      <w:r>
        <w:rPr>
          <w:rtl w:val="1"/>
        </w:rPr>
        <w:t>’</w:t>
      </w:r>
      <w:r>
        <w:rPr>
          <w:rtl w:val="0"/>
          <w:lang w:val="en-US"/>
        </w:rPr>
        <w:t>s Social Security number as its taxpayer identification number during any period in which it is treated as a grantor trust.</w:t>
      </w:r>
      <w:bookmarkEnd w:id="3"/>
    </w:p>
    <w:p>
      <w:pPr>
        <w:pStyle w:val="Heading"/>
      </w:pPr>
      <w:bookmarkStart w:name="articlethree" w:id="4"/>
      <w:r>
        <w:rPr>
          <w:rFonts w:cs="Arial Unicode MS" w:eastAsia="Arial Unicode MS"/>
          <w:rtl w:val="0"/>
          <w:lang w:val="de-DE"/>
        </w:rPr>
        <w:t>ARTICLE THREE</w:t>
      </w:r>
      <w:bookmarkEnd w:id="4"/>
    </w:p>
    <w:p>
      <w:pPr>
        <w:pStyle w:val="Heading 2"/>
      </w:pPr>
      <w:bookmarkStart w:name="Xdc4cc4735bf3da13adffcb36aee2afbe3d48a3a" w:id="5"/>
      <w:r>
        <w:rPr>
          <w:rFonts w:cs="Arial Unicode MS" w:eastAsia="Arial Unicode MS"/>
          <w:rtl w:val="0"/>
          <w:lang w:val="en-US"/>
        </w:rPr>
        <w:t>Characterization, Ownership, and Interspousal Allocation of Trust Property</w:t>
      </w:r>
    </w:p>
    <w:p>
      <w:pPr>
        <w:pStyle w:val="Reader Note"/>
      </w:pPr>
      <w:r>
        <w:rPr>
          <w:rFonts w:ascii="Cambria Bold" w:hAnsi="Cambria Bold"/>
          <w:i w:val="1"/>
          <w:iCs w:val="1"/>
          <w:rtl w:val="0"/>
          <w:lang w:val="en-US"/>
        </w:rPr>
        <w:t>In plain language.</w:t>
      </w:r>
      <w:r>
        <w:rPr>
          <w:rtl w:val="0"/>
          <w:lang w:val="en-US"/>
        </w:rPr>
        <w:t xml:space="preserve"> This Article answers one question: how much of the couple</w:t>
      </w:r>
      <w:r>
        <w:rPr>
          <w:rtl w:val="0"/>
          <w:lang w:val="en-US"/>
        </w:rPr>
        <w:t>’</w:t>
      </w:r>
      <w:r>
        <w:rPr>
          <w:rtl w:val="0"/>
          <w:lang w:val="en-US"/>
        </w:rPr>
        <w:t>s property counts as each spouse</w:t>
      </w:r>
      <w:r>
        <w:rPr>
          <w:rtl w:val="0"/>
          <w:lang w:val="en-US"/>
        </w:rPr>
        <w:t>’</w:t>
      </w:r>
      <w:r>
        <w:rPr>
          <w:rtl w:val="0"/>
          <w:lang w:val="en-US"/>
        </w:rPr>
        <w:t>s own for Islamic inheritance purposes. It does not change who owns what under Texas law.</w:t>
      </w:r>
    </w:p>
    <w:p>
      <w:pPr>
        <w:pStyle w:val="Trustee Note"/>
      </w:pPr>
      <w:r>
        <w:rPr>
          <w:rFonts w:ascii="Cambria Bold" w:hAnsi="Cambria Bold"/>
          <w:i w:val="1"/>
          <w:iCs w:val="1"/>
          <w:rtl w:val="0"/>
          <w:lang w:val="en-US"/>
        </w:rPr>
        <w:t>Note to the Trustee.</w:t>
      </w:r>
      <w:r>
        <w:rPr>
          <w:rtl w:val="0"/>
          <w:lang w:val="en-US"/>
        </w:rPr>
        <w:t xml:space="preserve"> Everything in Article Twelve depends on the number this Article produces. Before calculating any share, look at Schedule A to see which allocation method the Grantors elected, and use that share as the deceased Grantor</w:t>
      </w:r>
      <w:r>
        <w:rPr>
          <w:rtl w:val="0"/>
          <w:lang w:val="en-US"/>
        </w:rPr>
        <w:t>’</w:t>
      </w:r>
      <w:r>
        <w:rPr>
          <w:rtl w:val="0"/>
          <w:lang w:val="en-US"/>
        </w:rPr>
        <w:t>s estate. If a court ever holds an allocation ineffective under Texas law, Section F directs you to fall back to actual legal ownership rather than guess.</w:t>
      </w:r>
    </w:p>
    <w:p>
      <w:pPr>
        <w:pStyle w:val="Body"/>
        <w:numPr>
          <w:ilvl w:val="0"/>
          <w:numId w:val="15"/>
        </w:numPr>
        <w:rPr>
          <w:lang w:val="en-US"/>
        </w:rPr>
      </w:pPr>
      <w:r>
        <w:rPr>
          <w:rFonts w:ascii="Cambria Bold" w:hAnsi="Cambria Bold"/>
          <w:u w:val="single"/>
          <w:rtl w:val="0"/>
          <w:lang w:val="en-US"/>
        </w:rPr>
        <w:t>Texas Characterization Preserved:</w:t>
      </w:r>
      <w:r>
        <w:rPr>
          <w:rtl w:val="0"/>
          <w:lang w:val="en-US"/>
        </w:rPr>
        <w:t xml:space="preserve"> Property transferred to this Trust shall retain its character as community or separate property under Texas law unless expressly reallocated pursuant to this Article. The Trustee may rely on the designations reflected in Schedule A without duty to inquire further. If any designation is later determined to be incorrect, the transfer shall remain valid, and the Trustee shall adjust the characterization to reflect the correct legal status as if properly designated from the outset.</w:t>
      </w:r>
    </w:p>
    <w:p>
      <w:pPr>
        <w:pStyle w:val="Body"/>
        <w:numPr>
          <w:ilvl w:val="0"/>
          <w:numId w:val="2"/>
        </w:numPr>
        <w:rPr>
          <w:lang w:val="en-US"/>
        </w:rPr>
      </w:pPr>
      <w:r>
        <w:rPr>
          <w:rFonts w:ascii="Cambria Bold" w:hAnsi="Cambria Bold"/>
          <w:u w:val="single"/>
          <w:rtl w:val="0"/>
          <w:lang w:val="en-US"/>
        </w:rPr>
        <w:t>Election of Ownership Allocation Method:</w:t>
      </w:r>
      <w:r>
        <w:rPr>
          <w:rtl w:val="0"/>
          <w:lang w:val="en-US"/>
        </w:rPr>
        <w:t xml:space="preserve"> The Grantors have elected one of the following two methods for determining each Grantor's distributable Islamic estate. The elected method is identified in Schedule A and shall govern the application of Article Twelve. Only one method shall apply.</w:t>
      </w:r>
    </w:p>
    <w:p>
      <w:pPr>
        <w:pStyle w:val="First Paragraph"/>
      </w:pPr>
      <w:r>
        <w:rPr>
          <w:rtl w:val="0"/>
          <w:lang w:val="en-US"/>
        </w:rPr>
        <w:t>{#isHeba}</w:t>
      </w:r>
    </w:p>
    <w:p>
      <w:pPr>
        <w:pStyle w:val="Compact"/>
        <w:numPr>
          <w:ilvl w:val="0"/>
          <w:numId w:val="16"/>
        </w:numPr>
        <w:rPr>
          <w:lang w:val="en-US"/>
        </w:rPr>
      </w:pPr>
      <w:r>
        <w:rPr>
          <w:rFonts w:ascii="Cambria Bold" w:hAnsi="Cambria Bold"/>
          <w:rtl w:val="0"/>
          <w:lang w:val="en-US"/>
        </w:rPr>
        <w:t xml:space="preserve">C-1 </w:t>
      </w:r>
      <w:r>
        <w:rPr>
          <w:rFonts w:ascii="Cambria Bold" w:hAnsi="Cambria Bold" w:hint="default"/>
          <w:rtl w:val="0"/>
          <w:lang w:val="en-US"/>
        </w:rPr>
        <w:t xml:space="preserve">— </w:t>
      </w:r>
      <w:r>
        <w:rPr>
          <w:rFonts w:ascii="Cambria Bold" w:hAnsi="Cambria Bold"/>
          <w:rtl w:val="0"/>
          <w:lang w:val="en-US"/>
        </w:rPr>
        <w:t>Mutual Heba (50/50 Community Property Allocation):</w:t>
      </w:r>
      <w:r>
        <w:rPr>
          <w:rtl w:val="0"/>
          <w:lang w:val="en-US"/>
        </w:rPr>
        <w:t xml:space="preserve"> For purposes of Islamic inheritance only, and without altering the ownership, characterization, or divisibility of any property under Texas law, the Grantors hereby declare a mutual and simultaneous heba (Islamic lifetime gift) of one-half of each Grantor's interest in all community property to the other Grantor. </w:t>
      </w:r>
      <w:r>
        <w:rPr>
          <w:bCs/>
          <w:b/>
        </w:rPr>
        <w:t>Under Islamic law</w:t>
      </w:r>
      <w:r>
        <w:rPr>
          <w:rtl w:val="0"/>
          <w:lang w:val="en-US"/>
        </w:rPr>
        <w:t xml:space="preserve"> this heba is unconditional, takes effect immediately upon execution of this Trust, and may not be revoked or reclaimed by either Grantor for any reason, including divorce or dissolution of marriage. Under Texas law this declaration effects no transfer, partition, exchange, or conversion of any property interest; it is not an agreement under Chapter 4 of the Texas Family Code; and it does not alter either Grantor's rights or remedies upon dissolution of marriage. The sole legal effect of this declaration is that each Grantor shall be deemed to own fifty percent (50%) of all community property for purposes of determining that Grantor's distributable Islamic estate under Article Twelve. The Islamic Law of Inheritance fractions described in Article Twelve shall be applied to each Grantor's fifty percent (50%) share. The Grantors acknowledge and accept that:</w:t>
      </w:r>
    </w:p>
    <w:p>
      <w:pPr>
        <w:pStyle w:val="Body"/>
        <w:numPr>
          <w:ilvl w:val="0"/>
          <w:numId w:val="18"/>
        </w:numPr>
        <w:rPr>
          <w:lang w:val="en-US"/>
        </w:rPr>
      </w:pPr>
      <w:r>
        <w:rPr>
          <w:rtl w:val="0"/>
          <w:lang w:val="en-US"/>
        </w:rPr>
        <w:t>This heba has immediate effect </w:t>
      </w:r>
      <w:r>
        <w:rPr>
          <w:bCs/>
          <w:b/>
        </w:rPr>
        <w:t>under Islamic law</w:t>
      </w:r>
      <w:r>
        <w:rPr>
          <w:rtl w:val="0"/>
          <w:lang w:val="en-US"/>
        </w:rPr>
        <w:t> and is binding </w:t>
      </w:r>
      <w:r>
        <w:rPr>
          <w:bCs/>
          <w:b/>
        </w:rPr>
        <w:t>under Islamic law</w:t>
      </w:r>
      <w:r>
        <w:rPr>
          <w:rtl w:val="0"/>
          <w:lang w:val="en-US"/>
        </w:rPr>
        <w:t> from the date of execution;</w:t>
      </w:r>
    </w:p>
    <w:p>
      <w:pPr>
        <w:pStyle w:val="Body"/>
        <w:numPr>
          <w:ilvl w:val="0"/>
          <w:numId w:val="18"/>
        </w:numPr>
        <w:rPr>
          <w:lang w:val="en-US"/>
        </w:rPr>
      </w:pPr>
      <w:r>
        <w:rPr>
          <w:rtl w:val="0"/>
          <w:lang w:val="en-US"/>
        </w:rPr>
        <w:t>This heba is irrevocable </w:t>
      </w:r>
      <w:r>
        <w:rPr>
          <w:bCs/>
          <w:b/>
        </w:rPr>
        <w:t>under Islamic law</w:t>
      </w:r>
      <w:r>
        <w:rPr>
          <w:rtl w:val="0"/>
          <w:lang w:val="en-US"/>
        </w:rPr>
        <w:t> and may not be reclaimed by either Grantor under any circumstances, including divorce;</w:t>
      </w:r>
    </w:p>
    <w:p>
      <w:pPr>
        <w:pStyle w:val="Body"/>
        <w:numPr>
          <w:ilvl w:val="0"/>
          <w:numId w:val="18"/>
        </w:numPr>
        <w:rPr>
          <w:lang w:val="en-US"/>
        </w:rPr>
      </w:pPr>
      <w:r>
        <w:rPr>
          <w:rtl w:val="0"/>
          <w:lang w:val="en-US"/>
        </w:rPr>
        <w:t>This heba does not change ownership under Texas law. Texas law continues to treat community property as community property, and a Texas court dividing property upon divorce would do so as it otherwise would;</w:t>
      </w:r>
    </w:p>
    <w:p>
      <w:pPr>
        <w:pStyle w:val="Body"/>
        <w:numPr>
          <w:ilvl w:val="0"/>
          <w:numId w:val="18"/>
        </w:numPr>
        <w:rPr>
          <w:lang w:val="en-US"/>
        </w:rPr>
      </w:pPr>
      <w:r>
        <w:rPr>
          <w:rtl w:val="0"/>
          <w:lang w:val="en-US"/>
        </w:rPr>
        <w:t>This provision does not alter the character of either Grantor's separate property, which shall remain separate property.</w:t>
      </w:r>
    </w:p>
    <w:p>
      <w:pPr>
        <w:pStyle w:val="First Paragraph"/>
      </w:pPr>
      <w:r>
        <w:rPr>
          <w:rtl w:val="0"/>
          <w:lang w:val="en-US"/>
        </w:rPr>
        <w:t>The Trustee is authorized to rely conclusively on this provision in determining each Grantor's distributable estate and shall have no duty to investigate the historical source of community property contributions.</w:t>
      </w:r>
    </w:p>
    <w:p>
      <w:pPr>
        <w:pStyle w:val="Body Text"/>
      </w:pPr>
      <w:r>
        <w:rPr>
          <w:rtl w:val="0"/>
          <w:lang w:val="en-US"/>
        </w:rPr>
        <w:t>{/isHeba}</w:t>
      </w:r>
    </w:p>
    <w:p>
      <w:pPr>
        <w:pStyle w:val="Body Text"/>
      </w:pPr>
      <w:r>
        <w:rPr>
          <w:rtl w:val="0"/>
          <w:lang w:val="en-US"/>
        </w:rPr>
        <w:t>{^isHeba}</w:t>
      </w:r>
    </w:p>
    <w:p>
      <w:pPr>
        <w:pStyle w:val="Body Text"/>
      </w:pPr>
      <w:r>
        <w:rPr>
          <w:rFonts w:ascii="Cambria Bold" w:hAnsi="Cambria Bold"/>
          <w:rtl w:val="0"/>
          <w:lang w:val="en-US"/>
        </w:rPr>
        <w:t xml:space="preserve">C-2 </w:t>
      </w:r>
      <w:r>
        <w:rPr>
          <w:rFonts w:ascii="Cambria Bold" w:hAnsi="Cambria Bold" w:hint="default"/>
          <w:rtl w:val="0"/>
          <w:lang w:val="en-US"/>
        </w:rPr>
        <w:t xml:space="preserve">— </w:t>
      </w:r>
      <w:r>
        <w:rPr>
          <w:rFonts w:ascii="Cambria Bold" w:hAnsi="Cambria Bold"/>
          <w:rtl w:val="0"/>
          <w:lang w:val="en-US"/>
        </w:rPr>
        <w:t>Asset Allocation Declaration (Non-Heba):</w:t>
      </w:r>
      <w:r>
        <w:rPr>
          <w:rtl w:val="0"/>
          <w:lang w:val="en-US"/>
        </w:rPr>
        <w:t xml:space="preserve"> The Grantors elect to declare the Islamic ownership of specific community and separate property assets as set forth in the Asset Allocation Schedule contained in Schedule A. This declaration reflects each Grantor's assertion of true Islamic ownership of the listed assets and does not constitute a heba or any present transfer of property. The Trustee shall administer and distribute each Grantor's listed assets in accordance with Article Twelve upon that Grantor's death. For any community property asset not listed in Schedule A, the Trustee shall apply a default allocation of fifty percent (50%) to each Grantor for purposes of Islamic distribution. The Grantors acknowledge that this default is a practical administrative measure and does not constitute a religious determination of ownership. The Grantors further acknowledge that this Asset Allocation Declaration does not have present Islamic legal effect as a transfer of ownership, and that the Grantors may wish to consult a qualified Islamic scholar regarding the sufficiency of this method for their individual circumstances. This provision does not alter the character of either Grantor's separate property, which shall remain separate property.</w:t>
      </w:r>
    </w:p>
    <w:p>
      <w:pPr>
        <w:pStyle w:val="Body Text"/>
      </w:pPr>
      <w:r>
        <w:rPr>
          <w:rtl w:val="0"/>
          <w:lang w:val="en-US"/>
        </w:rPr>
        <w:t>{/isHeba}</w:t>
      </w:r>
    </w:p>
    <w:p>
      <w:pPr>
        <w:pStyle w:val="Body"/>
        <w:numPr>
          <w:ilvl w:val="0"/>
          <w:numId w:val="21"/>
        </w:numPr>
        <w:rPr>
          <w:lang w:val="en-US"/>
        </w:rPr>
      </w:pPr>
      <w:r>
        <w:rPr>
          <w:rFonts w:ascii="Cambria Bold" w:hAnsi="Cambria Bold"/>
          <w:u w:val="single"/>
          <w:rtl w:val="0"/>
          <w:lang w:val="en-US"/>
        </w:rPr>
        <w:t>Allocation for Islamic Planning Purposes:</w:t>
      </w:r>
      <w:r>
        <w:rPr>
          <w:rtl w:val="0"/>
          <w:lang w:val="en-US"/>
        </w:rPr>
        <w:t xml:space="preserve"> Any allocation of community property under Section C, whether equal or unequal, is a declaration of each Grantor's belief as to Islamic ownership and governs the computation of that Grantor's distributable Islamic estate under Article Twelve only. It effects no present transfer, partition, exchange, or conversion of any property interest under Texas law, does not alter the character of any property, and does not affect either Grantor's rights or remedies upon dissolution of marriage.</w:t>
      </w:r>
    </w:p>
    <w:p>
      <w:pPr>
        <w:pStyle w:val="Body"/>
        <w:numPr>
          <w:ilvl w:val="0"/>
          <w:numId w:val="20"/>
        </w:numPr>
        <w:rPr>
          <w:lang w:val="en-US"/>
        </w:rPr>
      </w:pPr>
      <w:r>
        <w:rPr>
          <w:rFonts w:ascii="Cambria Bold" w:hAnsi="Cambria Bold"/>
          <w:u w:val="single"/>
          <w:rtl w:val="0"/>
          <w:lang w:val="en-US"/>
        </w:rPr>
        <w:t>Statement of Wish; Voluntary Honoring by the Surviving Grantor:</w:t>
      </w:r>
    </w:p>
    <w:p>
      <w:pPr>
        <w:pStyle w:val="Body"/>
        <w:numPr>
          <w:ilvl w:val="1"/>
          <w:numId w:val="10"/>
        </w:numPr>
        <w:rPr>
          <w:lang w:val="en-US"/>
        </w:rPr>
      </w:pPr>
      <w:r>
        <w:rPr>
          <w:rFonts w:ascii="Cambria Bold" w:hAnsi="Cambria Bold"/>
          <w:u w:val="single"/>
          <w:rtl w:val="0"/>
          <w:lang w:val="en-US"/>
        </w:rPr>
        <w:t>Statement of Each Grantor</w:t>
      </w:r>
      <w:r>
        <w:rPr>
          <w:rtl w:val="0"/>
          <w:lang w:val="pt-PT"/>
        </w:rPr>
        <w:t xml:space="preserve">: Each Grantor declares: </w:t>
      </w:r>
      <w:r>
        <w:rPr>
          <w:rFonts w:ascii="Cambria Italic" w:hAnsi="Cambria Italic" w:hint="default"/>
          <w:rtl w:val="1"/>
          <w:lang w:val="ar-SA" w:bidi="ar-SA"/>
        </w:rPr>
        <w:t>“</w:t>
      </w:r>
      <w:r>
        <w:rPr>
          <w:rFonts w:ascii="Cambria Italic" w:hAnsi="Cambria Italic"/>
          <w:rtl w:val="0"/>
          <w:lang w:val="en-US"/>
        </w:rPr>
        <w:t>It is my sincere belief that, </w:t>
      </w:r>
      <w:r>
        <w:rPr>
          <w:bCs/>
          <w:b/>
        </w:rPr>
        <w:t>under Islamic law</w:t>
      </w:r>
      <w:r>
        <w:rPr>
          <w:rFonts w:ascii="Cambria Italic" w:hAnsi="Cambria Italic"/>
          <w:rtl w:val="0"/>
          <w:lang w:val="en-US"/>
        </w:rPr>
        <w:t>, the property allocated to me in Schedule A is mine, and it is my wish that it be distributed after my death in accordance with the Islamic Law of Inheritance as provided in Article Twelve. I ask my spouse to honor that wish. I recognize that the decision is my spouse's to make, and I make this request in trust and love, not in obligation.</w:t>
      </w:r>
      <w:r>
        <w:rPr>
          <w:rFonts w:ascii="Cambria Italic" w:hAnsi="Cambria Italic" w:hint="default"/>
          <w:rtl w:val="0"/>
        </w:rPr>
        <w:t>”</w:t>
      </w:r>
    </w:p>
    <w:p>
      <w:pPr>
        <w:pStyle w:val="Body"/>
        <w:numPr>
          <w:ilvl w:val="1"/>
          <w:numId w:val="10"/>
        </w:numPr>
        <w:rPr>
          <w:lang w:val="en-US"/>
        </w:rPr>
      </w:pPr>
      <w:r>
        <w:rPr>
          <w:rFonts w:ascii="Cambria Bold" w:hAnsi="Cambria Bold"/>
          <w:u w:val="single"/>
          <w:rtl w:val="0"/>
          <w:lang w:val="en-US"/>
        </w:rPr>
        <w:t>Effect at the First Death</w:t>
      </w:r>
      <w:r>
        <w:rPr>
          <w:rtl w:val="0"/>
          <w:lang w:val="en-US"/>
        </w:rPr>
        <w:t>: Upon the death of the first Grantor to die, the Trustee shall determine the Deceased Grantor's Trust Property using that Grantor's allocated share under Section C. To the extent that allocated share exceeds the property the deceased Grantor owned under Texas law, the excess shall be added to the Deceased Grantor's Trust Property only if the surviving Grantor so elects by signed writing delivered to the Trustee.</w:t>
      </w:r>
    </w:p>
    <w:p>
      <w:pPr>
        <w:pStyle w:val="Body"/>
        <w:numPr>
          <w:ilvl w:val="1"/>
          <w:numId w:val="10"/>
        </w:numPr>
        <w:rPr>
          <w:lang w:val="en-US"/>
        </w:rPr>
      </w:pPr>
      <w:r>
        <w:rPr>
          <w:rFonts w:ascii="Cambria Bold" w:hAnsi="Cambria Bold"/>
          <w:u w:val="single"/>
          <w:rtl w:val="0"/>
          <w:lang w:val="en-US"/>
        </w:rPr>
        <w:t>No Obligation; No Breach of Duty</w:t>
      </w:r>
      <w:r>
        <w:rPr>
          <w:rtl w:val="0"/>
          <w:lang w:val="en-US"/>
        </w:rPr>
        <w:t>: The election described in this Section is a personal decision of the surviving Grantor, made in an individual capacity and not as Trustee. The surviving Grantor is under no legal obligation to make it. A decision not to make the election is not a breach of any duty owed to any beneficiary of this Trust or of the Deceased Grantor's Trust, and no beneficiary shall have any claim against the surviving Grantor or against the Trustee by reason of that decision.</w:t>
      </w:r>
    </w:p>
    <w:p>
      <w:pPr>
        <w:pStyle w:val="Body"/>
        <w:numPr>
          <w:ilvl w:val="1"/>
          <w:numId w:val="10"/>
        </w:numPr>
        <w:rPr>
          <w:lang w:val="en-US"/>
        </w:rPr>
      </w:pPr>
      <w:r>
        <w:rPr>
          <w:rFonts w:ascii="Cambria Bold" w:hAnsi="Cambria Bold"/>
          <w:u w:val="single"/>
          <w:rtl w:val="0"/>
          <w:lang w:val="en-US"/>
        </w:rPr>
        <w:t>Default if No Election is Made</w:t>
      </w:r>
      <w:r>
        <w:rPr>
          <w:rtl w:val="0"/>
          <w:lang w:val="en-US"/>
        </w:rPr>
        <w:t>: If the surviving Grantor does not deliver the election within {firstDeathElectionDaysPhrase} after the death of the first Grantor, the Trustee shall determine the Deceased Grantor's Trust Property based on ownership as determined under Texas law, and shall apply Article Twelve to that property.</w:t>
      </w:r>
    </w:p>
    <w:p>
      <w:pPr>
        <w:pStyle w:val="Body"/>
        <w:numPr>
          <w:ilvl w:val="1"/>
          <w:numId w:val="10"/>
        </w:numPr>
        <w:rPr>
          <w:lang w:val="en-US"/>
        </w:rPr>
      </w:pPr>
      <w:r>
        <w:rPr>
          <w:rFonts w:ascii="Cambria Bold" w:hAnsi="Cambria Bold"/>
          <w:u w:val="single"/>
          <w:rtl w:val="0"/>
          <w:lang w:val="en-US"/>
        </w:rPr>
        <w:t>Tax Acknowledgment</w:t>
      </w:r>
      <w:r>
        <w:rPr>
          <w:rtl w:val="0"/>
          <w:lang w:val="en-US"/>
        </w:rPr>
        <w:t>: The Grantors acknowledge that a contribution under this Section is a transfer of the surviving Grantor's own property and may be a reportable gift for federal gift tax purposes. The surviving Grantor is advised to consult a qualified tax advisor before making the election.</w:t>
      </w:r>
    </w:p>
    <w:p>
      <w:pPr>
        <w:pStyle w:val="Trustee Note"/>
      </w:pPr>
      <w:r>
        <w:rPr>
          <w:rFonts w:ascii="Cambria Bold" w:hAnsi="Cambria Bold"/>
          <w:i w:val="1"/>
          <w:iCs w:val="1"/>
          <w:rtl w:val="0"/>
          <w:lang w:val="en-US"/>
        </w:rPr>
        <w:t>Note to the Trustee.</w:t>
      </w:r>
      <w:r>
        <w:rPr>
          <w:rtl w:val="0"/>
          <w:lang w:val="en-US"/>
        </w:rPr>
        <w:t xml:space="preserve"> This Section records a wish. It transfers nothing. If the deceased Grantor</w:t>
      </w:r>
      <w:r>
        <w:rPr>
          <w:rtl w:val="0"/>
          <w:lang w:val="en-US"/>
        </w:rPr>
        <w:t>’</w:t>
      </w:r>
      <w:r>
        <w:rPr>
          <w:rtl w:val="0"/>
          <w:lang w:val="en-US"/>
        </w:rPr>
        <w:t>s allocation in Schedule A is larger than what that Grantor actually owned under Texas law, the difference belongs to the surviving spouse, and it moves into the deceased spouse</w:t>
      </w:r>
      <w:r>
        <w:rPr>
          <w:rtl w:val="0"/>
          <w:lang w:val="en-US"/>
        </w:rPr>
        <w:t>’</w:t>
      </w:r>
      <w:r>
        <w:rPr>
          <w:rtl w:val="0"/>
          <w:lang w:val="en-US"/>
        </w:rPr>
        <w:t>s trust only if the surviving spouse signs the election described above. That choice is a personal one, made as an individual and not as Trustee. Declining it is not a breach of any duty to any beneficiary. If no election is delivered within the stated period, apply Texas ownership and administer accordingly. Because a contribution is a gift of the survivor</w:t>
      </w:r>
      <w:r>
        <w:rPr>
          <w:rtl w:val="0"/>
          <w:lang w:val="en-US"/>
        </w:rPr>
        <w:t>’</w:t>
      </w:r>
      <w:r>
        <w:rPr>
          <w:rtl w:val="0"/>
          <w:lang w:val="en-US"/>
        </w:rPr>
        <w:t>s own property, the surviving spouse should speak with a tax advisor before signing.</w:t>
      </w:r>
    </w:p>
    <w:p>
      <w:pPr>
        <w:pStyle w:val="Body"/>
        <w:numPr>
          <w:ilvl w:val="0"/>
          <w:numId w:val="24"/>
        </w:numPr>
        <w:rPr>
          <w:lang w:val="en-US"/>
        </w:rPr>
      </w:pPr>
      <w:r>
        <w:rPr>
          <w:rFonts w:ascii="Cambria Bold" w:hAnsi="Cambria Bold"/>
          <w:u w:val="single"/>
          <w:rtl w:val="0"/>
          <w:lang w:val="en-US"/>
        </w:rPr>
        <w:t>Trustee Reliance and Correction Authority:</w:t>
      </w:r>
      <w:r>
        <w:rPr>
          <w:rtl w:val="0"/>
          <w:lang w:val="en-US"/>
        </w:rPr>
        <w:t xml:space="preserve"> The Trustee may rely conclusively on the allocation method and designations stated in Schedule A and shall have no duty to investigate historical property character. If a court of competent jurisdiction determines that any reallocation was ineffective under Texas law, the Trustee shall adjust distributions to reflect the true legal ownership while preserving, to the extent reasonably possible, the Islamic inheritance objectives of this Trust.</w:t>
      </w:r>
    </w:p>
    <w:p>
      <w:pPr>
        <w:pStyle w:val="Body"/>
        <w:numPr>
          <w:ilvl w:val="0"/>
          <w:numId w:val="23"/>
        </w:numPr>
        <w:rPr>
          <w:lang w:val="en-US"/>
        </w:rPr>
      </w:pPr>
      <w:r>
        <w:rPr>
          <w:rFonts w:ascii="Cambria Bold" w:hAnsi="Cambria Bold"/>
          <w:u w:val="single"/>
          <w:rtl w:val="0"/>
          <w:lang w:val="en-US"/>
        </w:rPr>
        <w:t>Optional Allocation of Primary Residence at First Death:</w:t>
      </w:r>
      <w:r>
        <w:rPr>
          <w:rtl w:val="0"/>
          <w:lang w:val="en-US"/>
        </w:rPr>
        <w:t xml:space="preserve"> Upon the death of the first Grantor to die, the Trustee may allocate the Trust's interest in the primary residence to the surviving Grantor or to the Survivor's Trust. If such allocation is made, the Trustee shall ensure that the deceased Grantor's Islamic heirs receive assets of equivalent net value to their required distributive shares under the Islamic Law of Inheritance. The Trustee may satisfy such equalization using other trust assets, undivided interests in property, promissory notes on commercially reasonable terms, or any combination thereof. The Trustee shall not be required to sell the primary residence in order to satisfy Islamic inheritance shares. If the primary residence is owned entirely as the surviving Grantor's separate property at the time of death, this Section shall not apply. The value of the residence shall be determined as of the date of death unless the Trustee selects another reasonable valuation method consistent with applicable law.</w:t>
      </w:r>
      <w:bookmarkEnd w:id="5"/>
    </w:p>
    <w:p>
      <w:pPr>
        <w:pStyle w:val="Heading"/>
      </w:pPr>
      <w:bookmarkStart w:name="articlefour" w:id="6"/>
      <w:r>
        <w:rPr>
          <w:rFonts w:cs="Arial Unicode MS" w:eastAsia="Arial Unicode MS"/>
          <w:rtl w:val="0"/>
          <w:lang w:val="en-US"/>
        </w:rPr>
        <w:t>ARTICLE FOUR</w:t>
      </w:r>
      <w:bookmarkEnd w:id="6"/>
    </w:p>
    <w:p>
      <w:pPr>
        <w:pStyle w:val="Heading 2"/>
      </w:pPr>
      <w:bookmarkStart w:name="X1651bccc50249c3acda9f5f0401c82c3f457eb0" w:id="7"/>
      <w:r>
        <w:rPr>
          <w:rFonts w:cs="Arial Unicode MS" w:eastAsia="Arial Unicode MS"/>
          <w:rtl w:val="0"/>
          <w:lang w:val="en-US"/>
        </w:rPr>
        <w:t>Tangible Personal Property: Ownership Attribution and Administration</w:t>
      </w:r>
    </w:p>
    <w:p>
      <w:pPr>
        <w:pStyle w:val="Reader Note"/>
      </w:pPr>
      <w:r>
        <w:rPr>
          <w:rFonts w:ascii="Cambria Bold" w:hAnsi="Cambria Bold"/>
          <w:i w:val="1"/>
          <w:iCs w:val="1"/>
          <w:rtl w:val="0"/>
          <w:lang w:val="en-US"/>
        </w:rPr>
        <w:t>In plain language.</w:t>
      </w:r>
      <w:r>
        <w:rPr>
          <w:rtl w:val="0"/>
          <w:lang w:val="en-US"/>
        </w:rPr>
        <w:t xml:space="preserve"> This Article sorts household belongings without requiring anyone to inventory a lifetime of possessions. It applies only to items the Article Three election has not already allocated: personal items go to the spouse they belong to, shared household goods are split evenly, and items with one obvious user go to that user.</w:t>
      </w:r>
    </w:p>
    <w:p>
      <w:pPr>
        <w:pStyle w:val="Trustee Note"/>
      </w:pPr>
      <w:r>
        <w:rPr>
          <w:rFonts w:ascii="Cambria Bold" w:hAnsi="Cambria Bold"/>
          <w:i w:val="1"/>
          <w:iCs w:val="1"/>
          <w:rtl w:val="0"/>
          <w:lang w:val="en-US"/>
        </w:rPr>
        <w:t>Note to the Trustee.</w:t>
      </w:r>
      <w:r>
        <w:rPr>
          <w:rtl w:val="0"/>
          <w:lang w:val="en-US"/>
        </w:rPr>
        <w:t xml:space="preserve"> Check Article Three first. If the Grantors elected 50/50, then household and high-value personal property is split 50/50 regardless of whose name is on a title. If they allocated asset by asset, that allocation controls whatever it covers. Only what is left over falls to the tiers below. Beyond that, this Article gives you two affirmative duties, not just a set of presumptions. After a death you must (1) write a short summary of how you attributed the household property and give it to all of the deceased Grantor</w:t>
      </w:r>
      <w:r>
        <w:rPr>
          <w:rtl w:val="0"/>
          <w:lang w:val="en-US"/>
        </w:rPr>
        <w:t>’</w:t>
      </w:r>
      <w:r>
        <w:rPr>
          <w:rtl w:val="0"/>
          <w:lang w:val="en-US"/>
        </w:rPr>
        <w:t>s Islamic heirs, and (2) if anyone disagrees, encourage the heirs to settle it among themselves before you value or sell anything. Selling personal property is a last resort.</w:t>
      </w:r>
    </w:p>
    <w:p>
      <w:pPr>
        <w:pStyle w:val="Body"/>
        <w:numPr>
          <w:ilvl w:val="0"/>
          <w:numId w:val="25"/>
        </w:numPr>
        <w:rPr>
          <w:lang w:val="en-US"/>
        </w:rPr>
      </w:pPr>
      <w:r>
        <w:rPr>
          <w:rFonts w:ascii="Cambria Bold" w:hAnsi="Cambria Bold"/>
          <w:u w:val="single"/>
          <w:rtl w:val="0"/>
          <w:lang w:val="en-US"/>
        </w:rPr>
        <w:t>Purpose:</w:t>
      </w:r>
      <w:r>
        <w:rPr>
          <w:rtl w:val="0"/>
          <w:lang w:val="en-US"/>
        </w:rPr>
        <w:t xml:space="preserve"> The Grantors recognize that ordinary household property is often acquired for shared domestic use and that strict individual ownership of such items is neither customary nor practically determinable. Accordingly, this Article establishes a framework for attributing ownership of tangible personal property consistent with Islamic principles of ownership and the role of common custom (</w:t>
      </w:r>
      <w:r>
        <w:rPr>
          <w:rFonts w:ascii="Cambria Italic" w:hAnsi="Cambria Italic"/>
          <w:rtl w:val="0"/>
          <w:lang w:val="fr-FR"/>
        </w:rPr>
        <w:t>'urf</w:t>
      </w:r>
      <w:r>
        <w:rPr>
          <w:rtl w:val="0"/>
          <w:lang w:val="en-US"/>
        </w:rPr>
        <w:t>) in resolving ambiguity, as well as encouraging amicable settlement (</w:t>
      </w:r>
      <w:r>
        <w:rPr>
          <w:rFonts w:ascii="Cambria Italic" w:hAnsi="Cambria Italic"/>
          <w:rtl w:val="0"/>
          <w:lang w:val="pt-PT"/>
        </w:rPr>
        <w:t>sulh</w:t>
      </w:r>
      <w:r>
        <w:rPr>
          <w:rtl w:val="0"/>
          <w:lang w:val="en-US"/>
        </w:rPr>
        <w:t>) among heirs where needed.</w:t>
      </w:r>
    </w:p>
    <w:p>
      <w:pPr>
        <w:pStyle w:val="Body"/>
        <w:numPr>
          <w:ilvl w:val="0"/>
          <w:numId w:val="2"/>
        </w:numPr>
        <w:rPr>
          <w:lang w:val="de-DE"/>
        </w:rPr>
      </w:pPr>
      <w:r>
        <w:rPr>
          <w:rFonts w:ascii="Cambria Bold" w:hAnsi="Cambria Bold"/>
          <w:u w:val="single"/>
          <w:rtl w:val="0"/>
          <w:lang w:val="de-DE"/>
        </w:rPr>
        <w:t xml:space="preserve">Tier One </w:t>
      </w:r>
      <w:r>
        <w:rPr>
          <w:rFonts w:ascii="Cambria Bold" w:hAnsi="Cambria Bold" w:hint="default"/>
          <w:u w:val="single"/>
          <w:rtl w:val="0"/>
          <w:lang w:val="en-US"/>
        </w:rPr>
        <w:t xml:space="preserve">— </w:t>
      </w:r>
      <w:r>
        <w:rPr>
          <w:rFonts w:ascii="Cambria Bold" w:hAnsi="Cambria Bold"/>
          <w:u w:val="single"/>
          <w:rtl w:val="0"/>
          <w:lang w:val="en-US"/>
        </w:rPr>
        <w:t>Clearly Personal Items</w:t>
      </w:r>
      <w:r>
        <w:rPr>
          <w:rFonts w:ascii="Cambria Bold" w:hAnsi="Cambria Bold"/>
          <w:rtl w:val="0"/>
        </w:rPr>
        <w:t>:</w:t>
      </w:r>
      <w:r>
        <w:rPr>
          <w:rtl w:val="0"/>
          <w:lang w:val="en-US"/>
        </w:rPr>
        <w:t xml:space="preserve"> Items that are clearly personal in nature and uniquely associated with one Grantor shall be attributed to that Grantor as that Grantor's sole property. Such items include, without limitation: clothing, personal jewelry, personal care items, and items that by their nature are exclusively used by one spouse. The Trustee shall attribute such items to the appropriate Grantor based on the nature and ordinary use of the item without further inquiry.</w:t>
      </w:r>
    </w:p>
    <w:p>
      <w:pPr>
        <w:pStyle w:val="Body"/>
        <w:numPr>
          <w:ilvl w:val="0"/>
          <w:numId w:val="2"/>
        </w:numPr>
        <w:rPr>
          <w:lang w:val="en-US"/>
        </w:rPr>
      </w:pPr>
      <w:r>
        <w:rPr>
          <w:rFonts w:ascii="Cambria Bold" w:hAnsi="Cambria Bold"/>
          <w:u w:val="single"/>
          <w:rtl w:val="0"/>
          <w:lang w:val="en-US"/>
        </w:rPr>
        <w:t xml:space="preserve">Tier Two </w:t>
      </w:r>
      <w:r>
        <w:rPr>
          <w:rFonts w:ascii="Cambria Bold" w:hAnsi="Cambria Bold" w:hint="default"/>
          <w:u w:val="single"/>
          <w:rtl w:val="0"/>
          <w:lang w:val="en-US"/>
        </w:rPr>
        <w:t xml:space="preserve">— </w:t>
      </w:r>
      <w:r>
        <w:rPr>
          <w:rFonts w:ascii="Cambria Bold" w:hAnsi="Cambria Bold"/>
          <w:u w:val="single"/>
          <w:rtl w:val="0"/>
          <w:lang w:val="en-US"/>
        </w:rPr>
        <w:t>Shared Household Items</w:t>
      </w:r>
      <w:r>
        <w:rPr>
          <w:rFonts w:ascii="Cambria Bold" w:hAnsi="Cambria Bold"/>
          <w:rtl w:val="0"/>
        </w:rPr>
        <w:t>:</w:t>
      </w:r>
      <w:r>
        <w:rPr>
          <w:rtl w:val="0"/>
          <w:lang w:val="en-US"/>
        </w:rPr>
        <w:t xml:space="preserve"> Items acquired for shared domestic use and not uniquely associated with either Grantor shall be presumed to be owned equally (50/50) by both Grantors. This presumption is based on common custom (</w:t>
      </w:r>
      <w:r>
        <w:rPr>
          <w:rFonts w:ascii="Cambria Italic" w:hAnsi="Cambria Italic"/>
          <w:rtl w:val="0"/>
          <w:lang w:val="fr-FR"/>
        </w:rPr>
        <w:t>'urf</w:t>
      </w:r>
      <w:r>
        <w:rPr>
          <w:rtl w:val="0"/>
          <w:lang w:val="en-US"/>
        </w:rPr>
        <w:t>) applicable to the shared domestic context and does not require a formal transfer or gift between the Grantors. Such items include, without limitation: sofas, dining tables, beds, mattresses, rugs, dishes, cookware, general appliances, and similar furnishings and household effects. This presumption may be rebutted only by clear evidence of sole ownership documented in Schedule A or by written agreement of the Grantors.</w:t>
      </w:r>
    </w:p>
    <w:p>
      <w:pPr>
        <w:pStyle w:val="Body"/>
        <w:numPr>
          <w:ilvl w:val="0"/>
          <w:numId w:val="2"/>
        </w:numPr>
        <w:rPr>
          <w:lang w:val="en-US"/>
        </w:rPr>
      </w:pPr>
      <w:r>
        <w:rPr>
          <w:rFonts w:ascii="Cambria Bold" w:hAnsi="Cambria Bold"/>
          <w:u w:val="single"/>
          <w:rtl w:val="0"/>
          <w:lang w:val="en-US"/>
        </w:rPr>
        <w:t xml:space="preserve">Tier Three </w:t>
      </w:r>
      <w:r>
        <w:rPr>
          <w:rFonts w:ascii="Cambria Bold" w:hAnsi="Cambria Bold" w:hint="default"/>
          <w:u w:val="single"/>
          <w:rtl w:val="0"/>
          <w:lang w:val="en-US"/>
        </w:rPr>
        <w:t xml:space="preserve">— </w:t>
      </w:r>
      <w:r>
        <w:rPr>
          <w:rFonts w:ascii="Cambria Bold" w:hAnsi="Cambria Bold"/>
          <w:u w:val="single"/>
          <w:rtl w:val="0"/>
          <w:lang w:val="en-US"/>
        </w:rPr>
        <w:t>Items with a Predominant User</w:t>
      </w:r>
      <w:r>
        <w:rPr>
          <w:rFonts w:ascii="Cambria Bold" w:hAnsi="Cambria Bold"/>
          <w:rtl w:val="0"/>
        </w:rPr>
        <w:t>:</w:t>
      </w:r>
      <w:r>
        <w:rPr>
          <w:rtl w:val="0"/>
          <w:lang w:val="en-US"/>
        </w:rPr>
        <w:t xml:space="preserve"> Items that have a clearly predominant user but whose ownership is not otherwise documented shall be attributed to the spouse who predominantly uses them. Such items include, without limitation: a spouse's dedicated office furniture, work tools, hobby equipment, and personal workspace electronics. The Trustee shall make this determination in good faith based on observable use patterns and any available documentation.</w:t>
      </w:r>
    </w:p>
    <w:p>
      <w:pPr>
        <w:pStyle w:val="Body"/>
        <w:numPr>
          <w:ilvl w:val="0"/>
          <w:numId w:val="2"/>
        </w:numPr>
        <w:rPr>
          <w:lang w:val="en-US"/>
        </w:rPr>
      </w:pPr>
      <w:r>
        <w:rPr>
          <w:rFonts w:ascii="Cambria Bold" w:hAnsi="Cambria Bold"/>
          <w:u w:val="single"/>
          <w:rtl w:val="0"/>
          <w:lang w:val="en-US"/>
        </w:rPr>
        <w:t>Relationship to Article Three:</w:t>
      </w:r>
      <w:r>
        <w:rPr>
          <w:rtl w:val="0"/>
          <w:lang w:val="en-US"/>
        </w:rPr>
        <w:t xml:space="preserve"> The allocation method elected under Article Three governs ownership for Islamic inheritance purposes. Sections B through D of this Article apply only to items of tangible personal property that the elected method does not otherwise allocate.</w:t>
      </w:r>
    </w:p>
    <w:p>
      <w:pPr>
        <w:pStyle w:val="Body"/>
        <w:numPr>
          <w:ilvl w:val="0"/>
          <w:numId w:val="2"/>
        </w:numPr>
        <w:rPr>
          <w:lang w:val="en-US"/>
        </w:rPr>
      </w:pPr>
      <w:r>
        <w:rPr>
          <w:rFonts w:ascii="Cambria Bold" w:hAnsi="Cambria Bold"/>
          <w:u w:val="single"/>
          <w:rtl w:val="0"/>
          <w:lang w:val="en-US"/>
        </w:rPr>
        <w:t>Trustee Administration Upon Death</w:t>
      </w:r>
      <w:r>
        <w:rPr>
          <w:rtl w:val="0"/>
          <w:lang w:val="en-US"/>
        </w:rPr>
        <w:t>: Upon the death of either Grantor, the Trustee shall administer tangible personal property subject to this Article as follows:</w:t>
      </w:r>
    </w:p>
    <w:p>
      <w:pPr>
        <w:pStyle w:val="Body"/>
        <w:numPr>
          <w:ilvl w:val="1"/>
          <w:numId w:val="26"/>
        </w:numPr>
        <w:rPr>
          <w:lang w:val="fr-FR"/>
        </w:rPr>
      </w:pPr>
      <w:r>
        <w:rPr>
          <w:rFonts w:ascii="Cambria Bold" w:hAnsi="Cambria Bold"/>
          <w:u w:val="single"/>
          <w:rtl w:val="0"/>
          <w:lang w:val="fr-FR"/>
        </w:rPr>
        <w:t>Attribution</w:t>
      </w:r>
      <w:r>
        <w:rPr>
          <w:rtl w:val="0"/>
          <w:lang w:val="en-US"/>
        </w:rPr>
        <w:t>: The Trustee shall apply the three-tier framework above in good faith to determine the ownership of tangible personal property as of the date of death.</w:t>
      </w:r>
    </w:p>
    <w:p>
      <w:pPr>
        <w:pStyle w:val="Body"/>
        <w:numPr>
          <w:ilvl w:val="1"/>
          <w:numId w:val="10"/>
        </w:numPr>
      </w:pPr>
      <w:r>
        <w:rPr>
          <w:rFonts w:ascii="Cambria Bold" w:hAnsi="Cambria Bold"/>
          <w:u w:val="single"/>
          <w:rtl w:val="0"/>
        </w:rPr>
        <w:t>Written Summary</w:t>
      </w:r>
      <w:r>
        <w:rPr>
          <w:rFonts w:ascii="Cambria Bold" w:hAnsi="Cambria Bold"/>
          <w:rtl w:val="0"/>
        </w:rPr>
        <w:t>:</w:t>
      </w:r>
      <w:r>
        <w:rPr>
          <w:rtl w:val="0"/>
          <w:lang w:val="en-US"/>
        </w:rPr>
        <w:t xml:space="preserve"> The Trustee shall prepare a brief written summary of the Trustee's attribution determinations and provide it to all Islamic heirs of the deceased Grantor.</w:t>
      </w:r>
    </w:p>
    <w:p>
      <w:pPr>
        <w:pStyle w:val="Body"/>
        <w:numPr>
          <w:ilvl w:val="1"/>
          <w:numId w:val="10"/>
        </w:numPr>
        <w:rPr>
          <w:lang w:val="en-US"/>
        </w:rPr>
      </w:pPr>
      <w:r>
        <w:rPr>
          <w:rFonts w:ascii="Cambria Bold" w:hAnsi="Cambria Bold"/>
          <w:u w:val="single"/>
          <w:rtl w:val="0"/>
          <w:lang w:val="en-US"/>
        </w:rPr>
        <w:t>Encouragement of Sulh</w:t>
      </w:r>
      <w:r>
        <w:rPr>
          <w:rtl w:val="0"/>
          <w:lang w:val="en-US"/>
        </w:rPr>
        <w:t>: Where attribution is unclear or disputed, the Trustee shall encourage the heirs to reach an amicable settlement (</w:t>
      </w:r>
      <w:r>
        <w:rPr>
          <w:rFonts w:ascii="Cambria Italic" w:hAnsi="Cambria Italic"/>
          <w:rtl w:val="0"/>
          <w:lang w:val="pt-PT"/>
        </w:rPr>
        <w:t>sulh</w:t>
      </w:r>
      <w:r>
        <w:rPr>
          <w:rtl w:val="0"/>
          <w:lang w:val="en-US"/>
        </w:rPr>
        <w:t>) among themselves. The Trustee may facilitate but is not required to arbitrate such discussions.</w:t>
      </w:r>
    </w:p>
    <w:p>
      <w:pPr>
        <w:pStyle w:val="Body"/>
        <w:numPr>
          <w:ilvl w:val="1"/>
          <w:numId w:val="10"/>
        </w:numPr>
        <w:rPr>
          <w:lang w:val="en-US"/>
        </w:rPr>
      </w:pPr>
      <w:r>
        <w:rPr>
          <w:rFonts w:ascii="Cambria Bold" w:hAnsi="Cambria Bold"/>
          <w:u w:val="single"/>
          <w:rtl w:val="0"/>
          <w:lang w:val="en-US"/>
        </w:rPr>
        <w:t>Formal Distribution:</w:t>
      </w:r>
      <w:r>
        <w:rPr>
          <w:rtl w:val="0"/>
          <w:lang w:val="en-US"/>
        </w:rPr>
        <w:t xml:space="preserve"> Only if heirs cannot reach sulh and the amounts in dispute are material shall the Trustee proceed to formal valuation and distribution. In such cases, the Trustee shall value the disputed items in good faith, calculate each heir's fractional share, and satisfy that share first from other distributable trust assets. Sale of tangible personal property shall be a last resort.</w:t>
      </w:r>
    </w:p>
    <w:p>
      <w:pPr>
        <w:pStyle w:val="Body"/>
        <w:numPr>
          <w:ilvl w:val="0"/>
          <w:numId w:val="27"/>
        </w:numPr>
        <w:rPr>
          <w:lang w:val="en-US"/>
        </w:rPr>
      </w:pPr>
      <w:r>
        <w:rPr>
          <w:rFonts w:ascii="Cambria Bold" w:hAnsi="Cambria Bold"/>
          <w:u w:val="single"/>
          <w:rtl w:val="0"/>
          <w:lang w:val="en-US"/>
        </w:rPr>
        <w:t>Trustee Protection</w:t>
      </w:r>
      <w:r>
        <w:rPr>
          <w:rtl w:val="0"/>
          <w:lang w:val="en-US"/>
        </w:rPr>
        <w:t>: The Trustee's good-faith attribution and administration of tangible personal property under this Article shall be conclusive absent manifest error or abuse of discretion. No Trustee shall be liable for attribution determinations made in good faith in accordance with this framework.</w:t>
      </w:r>
      <w:bookmarkEnd w:id="7"/>
    </w:p>
    <w:p>
      <w:pPr>
        <w:pStyle w:val="Heading"/>
      </w:pPr>
      <w:bookmarkStart w:name="articlefive" w:id="8"/>
      <w:r>
        <w:rPr>
          <w:rFonts w:cs="Arial Unicode MS" w:eastAsia="Arial Unicode MS"/>
          <w:rtl w:val="0"/>
          <w:lang w:val="de-DE"/>
        </w:rPr>
        <w:t>ARTICLE FIVE</w:t>
      </w:r>
      <w:bookmarkEnd w:id="8"/>
    </w:p>
    <w:p>
      <w:pPr>
        <w:pStyle w:val="Heading 2"/>
      </w:pPr>
      <w:bookmarkStart w:name="X221a0b8ee02eca730fe0b2c0970c9d4a87dd391" w:id="9"/>
      <w:r>
        <w:rPr>
          <w:rFonts w:cs="Arial Unicode MS" w:eastAsia="Arial Unicode MS"/>
          <w:rtl w:val="0"/>
          <w:lang w:val="en-US"/>
        </w:rPr>
        <w:t>Intent to Comply with Islamic Financial Ethics and the Islamic Laws of Inheritance</w:t>
      </w:r>
    </w:p>
    <w:p>
      <w:pPr>
        <w:pStyle w:val="Reader Note"/>
      </w:pPr>
      <w:r>
        <w:rPr>
          <w:rFonts w:ascii="Cambria Bold" w:hAnsi="Cambria Bold"/>
          <w:i w:val="1"/>
          <w:iCs w:val="1"/>
          <w:rtl w:val="0"/>
          <w:lang w:val="en-US"/>
        </w:rPr>
        <w:t>In plain language.</w:t>
      </w:r>
      <w:r>
        <w:rPr>
          <w:rtl w:val="0"/>
          <w:lang w:val="en-US"/>
        </w:rPr>
        <w:t xml:space="preserve"> This Article states, on the record, that the Grantors chose Islamic inheritance knowingly, including the possibility that it costs more in taxes or produces a different result than Texas law would. It is what tells a future court that the outcome was intended and not a mistake.</w:t>
      </w:r>
    </w:p>
    <w:p>
      <w:pPr>
        <w:pStyle w:val="Body"/>
        <w:numPr>
          <w:ilvl w:val="0"/>
          <w:numId w:val="28"/>
        </w:numPr>
        <w:rPr>
          <w:lang w:val="en-US"/>
        </w:rPr>
      </w:pPr>
      <w:r>
        <w:rPr>
          <w:rFonts w:ascii="Cambria Bold" w:hAnsi="Cambria Bold"/>
          <w:u w:val="single"/>
          <w:rtl w:val="0"/>
          <w:lang w:val="en-US"/>
        </w:rPr>
        <w:t>Intent to Comply with Islamic Inheritance:</w:t>
      </w:r>
      <w:r>
        <w:rPr>
          <w:rtl w:val="0"/>
          <w:lang w:val="en-US"/>
        </w:rPr>
        <w:t xml:space="preserve"> It is our express intent in creating this trust agreement and any trusts created therefrom that the assets transferred to it are held for our benefit while we are alive and are distributed upon our death in compliance with the Islamic Law of Inheritance as that is defined in Schedule B. We understand, acknowledge, and accept that our decision to do so may result in:</w:t>
      </w:r>
    </w:p>
    <w:p>
      <w:pPr>
        <w:pStyle w:val="Body"/>
        <w:numPr>
          <w:ilvl w:val="1"/>
          <w:numId w:val="29"/>
        </w:numPr>
        <w:rPr>
          <w:lang w:val="en-US"/>
        </w:rPr>
      </w:pPr>
      <w:r>
        <w:rPr>
          <w:rtl w:val="0"/>
          <w:lang w:val="en-US"/>
        </w:rPr>
        <w:t>Federal and/or State taxes that might otherwise be avoided if not for the above compliance;</w:t>
      </w:r>
    </w:p>
    <w:p>
      <w:pPr>
        <w:pStyle w:val="Body"/>
        <w:numPr>
          <w:ilvl w:val="1"/>
          <w:numId w:val="10"/>
        </w:numPr>
        <w:rPr>
          <w:lang w:val="en-US"/>
        </w:rPr>
      </w:pPr>
      <w:r>
        <w:rPr>
          <w:rtl w:val="0"/>
          <w:lang w:val="en-US"/>
        </w:rPr>
        <w:t>An unequal distribution to our children on the basis of gender;</w:t>
      </w:r>
    </w:p>
    <w:p>
      <w:pPr>
        <w:pStyle w:val="Body"/>
        <w:numPr>
          <w:ilvl w:val="1"/>
          <w:numId w:val="10"/>
        </w:numPr>
        <w:rPr>
          <w:lang w:val="en-US"/>
        </w:rPr>
      </w:pPr>
      <w:r>
        <w:rPr>
          <w:rtl w:val="0"/>
          <w:lang w:val="en-US"/>
        </w:rPr>
        <w:t>A distribution to relatives who are not our heirs under the laws of Texas;</w:t>
      </w:r>
    </w:p>
    <w:p>
      <w:pPr>
        <w:pStyle w:val="Body"/>
        <w:numPr>
          <w:ilvl w:val="1"/>
          <w:numId w:val="10"/>
        </w:numPr>
        <w:rPr>
          <w:lang w:val="en-US"/>
        </w:rPr>
      </w:pPr>
      <w:r>
        <w:rPr>
          <w:rtl w:val="0"/>
          <w:lang w:val="en-US"/>
        </w:rPr>
        <w:t>The liquidation and distribution of property that might benefit a surviving Grantor and result in his or her receipt of a smaller share than he or she might otherwise be entitled to under community property law.</w:t>
      </w:r>
    </w:p>
    <w:p>
      <w:pPr>
        <w:pStyle w:val="Body"/>
        <w:numPr>
          <w:ilvl w:val="0"/>
          <w:numId w:val="30"/>
        </w:numPr>
        <w:rPr>
          <w:lang w:val="en-US"/>
        </w:rPr>
      </w:pPr>
      <w:r>
        <w:rPr>
          <w:rFonts w:ascii="Cambria Bold" w:hAnsi="Cambria Bold"/>
          <w:u w:val="single"/>
          <w:rtl w:val="0"/>
          <w:lang w:val="en-US"/>
        </w:rPr>
        <w:t>Intent to Comply with Islamic Financial Ethics</w:t>
      </w:r>
      <w:r>
        <w:rPr>
          <w:rFonts w:ascii="Cambria Bold" w:hAnsi="Cambria Bold"/>
          <w:rtl w:val="0"/>
        </w:rPr>
        <w:t>:</w:t>
      </w:r>
      <w:r>
        <w:rPr>
          <w:rtl w:val="0"/>
          <w:lang w:val="en-US"/>
        </w:rPr>
        <w:t xml:space="preserve"> We have empowered our Trustee with discretion to manage, distribute, and invest the assets in our trust, but we instruct our Trustees to invest our assets in a manner that is compliant with the ethics, guidance, and boundaries of Islamic Law as that is defined below.</w:t>
      </w:r>
    </w:p>
    <w:p>
      <w:pPr>
        <w:pStyle w:val="First Paragraph"/>
      </w:pPr>
      <w:r>
        <w:rPr>
          <w:rtl w:val="0"/>
          <w:lang w:val="en-US"/>
        </w:rPr>
        <w:t>Islamic law prohibits the acquisition of wealth in ways that contravene the religion</w:t>
      </w:r>
      <w:r>
        <w:rPr>
          <w:rtl w:val="0"/>
          <w:lang w:val="en-US"/>
        </w:rPr>
        <w:t>’</w:t>
      </w:r>
      <w:r>
        <w:rPr>
          <w:rtl w:val="0"/>
          <w:lang w:val="en-US"/>
        </w:rPr>
        <w:t>s principles of lawfulness, mutual consent, and goodwill. From this principal these investment criteria follow: (1) Investments cannot be made into forbidden assets or illicit activity, including alcohol, pork, gambling, and pornography. In the instance that a company conducts a permissible sale or activity as its primary source of income, but has accessory businesses or business units that conduct impermissible activities, such activities must only constitute a trivial amount of the company</w:t>
      </w:r>
      <w:r>
        <w:rPr>
          <w:rtl w:val="0"/>
          <w:lang w:val="en-US"/>
        </w:rPr>
        <w:t>’</w:t>
      </w:r>
      <w:r>
        <w:rPr>
          <w:rtl w:val="0"/>
          <w:lang w:val="en-US"/>
        </w:rPr>
        <w:t xml:space="preserve">s revenue. (2) reasonable efforts must be made to avoid investment into companies that have more than thirty-three percent of their value (determined as </w:t>
      </w:r>
      <w:r>
        <w:rPr>
          <w:rtl w:val="0"/>
          <w:lang w:val="en-US"/>
        </w:rPr>
        <w:t>‘</w:t>
      </w:r>
      <w:r>
        <w:rPr>
          <w:rtl w:val="0"/>
          <w:lang w:val="en-US"/>
        </w:rPr>
        <w:t>market capitalization</w:t>
      </w:r>
      <w:r>
        <w:rPr>
          <w:rtl w:val="0"/>
          <w:lang w:val="en-US"/>
        </w:rPr>
        <w:t>’</w:t>
      </w:r>
      <w:r>
        <w:rPr>
          <w:rtl w:val="0"/>
          <w:lang w:val="en-US"/>
        </w:rPr>
        <w:t>, which is the total market value of the company</w:t>
      </w:r>
      <w:r>
        <w:rPr>
          <w:rtl w:val="0"/>
          <w:lang w:val="en-US"/>
        </w:rPr>
        <w:t>’</w:t>
      </w:r>
      <w:r>
        <w:rPr>
          <w:rtl w:val="0"/>
          <w:lang w:val="en-US"/>
        </w:rPr>
        <w:t xml:space="preserve">s outstanding shares) in interest-bearing debt. One may consider the level of social good the company is achieving when deciding whether the level of interest-bearing debt is tolerable or they may choose not to make such a consideration. (3) Islamic Law prohibits transactions involving </w:t>
      </w:r>
      <w:r>
        <w:rPr>
          <w:rFonts w:ascii="Cambria Italic" w:hAnsi="Cambria Italic"/>
          <w:rtl w:val="0"/>
          <w:lang w:val="en-US"/>
        </w:rPr>
        <w:t>Riba</w:t>
      </w:r>
      <w:r>
        <w:rPr>
          <w:rtl w:val="0"/>
          <w:lang w:val="en-US"/>
        </w:rPr>
        <w:t xml:space="preserve"> (commonly translated as </w:t>
      </w:r>
      <w:r>
        <w:rPr>
          <w:rtl w:val="0"/>
          <w:lang w:val="en-US"/>
        </w:rPr>
        <w:t>‘</w:t>
      </w:r>
      <w:r>
        <w:rPr>
          <w:rtl w:val="0"/>
          <w:lang w:val="en-US"/>
        </w:rPr>
        <w:t>interest</w:t>
      </w:r>
      <w:r>
        <w:rPr>
          <w:rtl w:val="0"/>
          <w:lang w:val="en-US"/>
        </w:rPr>
        <w:t xml:space="preserve">’ </w:t>
      </w:r>
      <w:r>
        <w:rPr>
          <w:rtl w:val="0"/>
          <w:lang w:val="en-US"/>
        </w:rPr>
        <w:t xml:space="preserve">or </w:t>
      </w:r>
      <w:r>
        <w:rPr>
          <w:rtl w:val="0"/>
          <w:lang w:val="en-US"/>
        </w:rPr>
        <w:t>‘</w:t>
      </w:r>
      <w:r>
        <w:rPr>
          <w:rtl w:val="0"/>
          <w:lang w:val="en-US"/>
        </w:rPr>
        <w:t>usury</w:t>
      </w:r>
      <w:r>
        <w:rPr>
          <w:rtl w:val="0"/>
          <w:lang w:val="en-US"/>
        </w:rPr>
        <w:t xml:space="preserve">’ </w:t>
      </w:r>
      <w:r>
        <w:rPr>
          <w:rtl w:val="0"/>
          <w:lang w:val="en-US"/>
        </w:rPr>
        <w:t>in English), which is a charge for the use of another</w:t>
      </w:r>
      <w:r>
        <w:rPr>
          <w:rtl w:val="0"/>
          <w:lang w:val="en-US"/>
        </w:rPr>
        <w:t>’</w:t>
      </w:r>
      <w:r>
        <w:rPr>
          <w:rtl w:val="0"/>
          <w:lang w:val="en-US"/>
        </w:rPr>
        <w:t xml:space="preserve">s money. The preceding investment principle is a direct and specific illustration of how </w:t>
      </w:r>
      <w:r>
        <w:rPr>
          <w:rFonts w:ascii="Cambria Italic" w:hAnsi="Cambria Italic"/>
          <w:rtl w:val="0"/>
          <w:lang w:val="en-US"/>
        </w:rPr>
        <w:t>Riba</w:t>
      </w:r>
      <w:r>
        <w:rPr>
          <w:rtl w:val="0"/>
          <w:lang w:val="en-US"/>
        </w:rPr>
        <w:t xml:space="preserve"> must be avoided, but all reasonable efforts should be made to avoid </w:t>
      </w:r>
      <w:r>
        <w:rPr>
          <w:rFonts w:ascii="Cambria Italic" w:hAnsi="Cambria Italic"/>
          <w:rtl w:val="0"/>
          <w:lang w:val="en-US"/>
        </w:rPr>
        <w:t>Riba</w:t>
      </w:r>
      <w:r>
        <w:rPr>
          <w:rtl w:val="0"/>
          <w:lang w:val="en-US"/>
        </w:rPr>
        <w:t xml:space="preserve"> in other circumstances that should arise. (4) Islamic Law prohibits transactions involving </w:t>
      </w:r>
      <w:r>
        <w:rPr>
          <w:rFonts w:ascii="Cambria Italic" w:hAnsi="Cambria Italic"/>
          <w:rtl w:val="0"/>
          <w:lang w:val="en-US"/>
        </w:rPr>
        <w:t>gharar</w:t>
      </w:r>
      <w:r>
        <w:rPr>
          <w:rtl w:val="0"/>
          <w:lang w:val="en-US"/>
        </w:rPr>
        <w:t xml:space="preserve">, which means </w:t>
      </w:r>
      <w:r>
        <w:rPr>
          <w:rtl w:val="0"/>
          <w:lang w:val="en-US"/>
        </w:rPr>
        <w:t>‘</w:t>
      </w:r>
      <w:r>
        <w:rPr>
          <w:rtl w:val="0"/>
          <w:lang w:val="en-US"/>
        </w:rPr>
        <w:t>uncertainty</w:t>
      </w:r>
      <w:r>
        <w:rPr>
          <w:rtl w:val="0"/>
          <w:lang w:val="en-US"/>
        </w:rPr>
        <w:t xml:space="preserve">’ </w:t>
      </w:r>
      <w:r>
        <w:rPr>
          <w:rtl w:val="0"/>
          <w:lang w:val="en-US"/>
        </w:rPr>
        <w:t xml:space="preserve">and is associated with deception involving uncertainty and risk. While all transactions involves some amount of risk, such minor </w:t>
      </w:r>
      <w:r>
        <w:rPr>
          <w:rFonts w:ascii="Cambria Italic" w:hAnsi="Cambria Italic"/>
          <w:rtl w:val="0"/>
          <w:lang w:val="en-US"/>
        </w:rPr>
        <w:t>gharar</w:t>
      </w:r>
      <w:r>
        <w:rPr>
          <w:rtl w:val="0"/>
          <w:lang w:val="en-US"/>
        </w:rPr>
        <w:t xml:space="preserve"> is permissible. Impermissible </w:t>
      </w:r>
      <w:r>
        <w:rPr>
          <w:rFonts w:ascii="Cambria Italic" w:hAnsi="Cambria Italic"/>
          <w:rtl w:val="0"/>
          <w:lang w:val="en-US"/>
        </w:rPr>
        <w:t>Gharar</w:t>
      </w:r>
      <w:r>
        <w:rPr>
          <w:rtl w:val="0"/>
          <w:lang w:val="en-US"/>
        </w:rPr>
        <w:t xml:space="preserve"> is a present when there is (i) uncertain existence, quality, or characteristics of a commodity or (ii) pure speculation where an outcome depends on excessive uncertainty and this risk is not shared. Notable financial instruments that involve </w:t>
      </w:r>
      <w:r>
        <w:rPr>
          <w:rFonts w:ascii="Cambria Italic" w:hAnsi="Cambria Italic"/>
          <w:rtl w:val="0"/>
          <w:lang w:val="en-US"/>
        </w:rPr>
        <w:t>gharar</w:t>
      </w:r>
      <w:r>
        <w:rPr>
          <w:rtl w:val="0"/>
          <w:lang w:val="en-US"/>
        </w:rPr>
        <w:t xml:space="preserve"> include derivative transactions such as forwards, futures, options, and forms of speculation such as short selling.</w:t>
      </w:r>
    </w:p>
    <w:p>
      <w:pPr>
        <w:pStyle w:val="Compact"/>
        <w:numPr>
          <w:ilvl w:val="0"/>
          <w:numId w:val="31"/>
        </w:numPr>
        <w:rPr>
          <w:lang w:val="en-US"/>
        </w:rPr>
      </w:pPr>
      <w:r>
        <w:rPr>
          <w:rFonts w:ascii="Cambria Bold" w:hAnsi="Cambria Bold"/>
          <w:u w:val="single"/>
          <w:rtl w:val="0"/>
          <w:lang w:val="en-US"/>
        </w:rPr>
        <w:t>Power to Review and Direct Investments:</w:t>
      </w:r>
      <w:r>
        <w:rPr>
          <w:rtl w:val="0"/>
          <w:lang w:val="en-US"/>
        </w:rPr>
        <w:t xml:space="preserve"> During the joint lifetimes of the Grantors, the Grantors reserve the right to review and direct the Trustee with respect to investment decisions concerning community property. Each Grantor also reserves the right to review and direct the Trustee with respect to that Grantor</w:t>
      </w:r>
      <w:r>
        <w:rPr>
          <w:rtl w:val="0"/>
          <w:lang w:val="en-US"/>
        </w:rPr>
        <w:t>’</w:t>
      </w:r>
      <w:r>
        <w:rPr>
          <w:rtl w:val="0"/>
          <w:lang w:val="en-US"/>
        </w:rPr>
        <w:t>s separate property. The Trustee shall not be required to seek prior approval from the Grantors before making investment decisions, but shall comply with any written investment direction delivered by the applicable Grantor. All investment decisions shall remain subject to the Islamic Financial Ethics described above. Any investment direction provided by a Grantor shall relieve the Trustee of liability for complying with such direction, except in cases of willful misconduct.</w:t>
      </w:r>
      <w:bookmarkEnd w:id="9"/>
    </w:p>
    <w:p>
      <w:pPr>
        <w:pStyle w:val="Heading"/>
      </w:pPr>
      <w:bookmarkStart w:name="articlesix" w:id="10"/>
      <w:r>
        <w:rPr>
          <w:rFonts w:cs="Arial Unicode MS" w:eastAsia="Arial Unicode MS"/>
          <w:rtl w:val="0"/>
          <w:lang w:val="de-DE"/>
        </w:rPr>
        <w:t>ARTICLE SIX</w:t>
      </w:r>
      <w:bookmarkEnd w:id="10"/>
    </w:p>
    <w:p>
      <w:pPr>
        <w:pStyle w:val="Heading 2"/>
      </w:pPr>
      <w:bookmarkStart w:name="ourfamily" w:id="11"/>
      <w:r>
        <w:rPr>
          <w:rFonts w:cs="Arial Unicode MS" w:eastAsia="Arial Unicode MS"/>
          <w:rtl w:val="0"/>
          <w:lang w:val="en-US"/>
        </w:rPr>
        <w:t>Our Family</w:t>
      </w:r>
    </w:p>
    <w:p>
      <w:pPr>
        <w:pStyle w:val="Reader Note"/>
      </w:pPr>
      <w:r>
        <w:rPr>
          <w:rFonts w:ascii="Cambria Bold" w:hAnsi="Cambria Bold"/>
          <w:i w:val="1"/>
          <w:iCs w:val="1"/>
          <w:rtl w:val="0"/>
          <w:lang w:val="en-US"/>
        </w:rPr>
        <w:t>In plain language.</w:t>
      </w:r>
      <w:r>
        <w:rPr>
          <w:rtl w:val="0"/>
          <w:lang w:val="en-US"/>
        </w:rPr>
        <w:t xml:space="preserve"> This Article names the family. It records the marriage, the children, and everyone provided for under this Trust.</w:t>
      </w:r>
    </w:p>
    <w:p>
      <w:pPr>
        <w:pStyle w:val="Body Text"/>
      </w:pPr>
      <w:r>
        <w:rPr>
          <w:rtl w:val="0"/>
          <w:lang w:val="en-US"/>
        </w:rPr>
        <w:t xml:space="preserve">We were married on {dateOfMarriage}. We currently have {childrenCount} children. All references in this document to </w:t>
      </w:r>
      <w:r>
        <w:rPr>
          <w:rFonts w:ascii="Cambria Italic" w:hAnsi="Cambria Italic"/>
          <w:rtl w:val="0"/>
          <w:lang w:val="en-US"/>
        </w:rPr>
        <w:t>our children</w:t>
      </w:r>
      <w:r>
        <w:rPr>
          <w:rtl w:val="0"/>
        </w:rPr>
        <w:t xml:space="preserve"> are references to these and any other children subsequently born to us. In this trust agreement, we have provided for the following individuals:</w:t>
      </w:r>
    </w:p>
    <w:p>
      <w:pPr>
        <w:keepNext w:val="0"/>
        <w:keepLines w:val="0"/>
        <w:pageBreakBefore w:val="0"/>
        <w:widowControl w:val="0"/>
        <w:shd w:val="clear" w:color="auto" w:fill="auto"/>
        <w:suppressAutoHyphens w:val="0"/>
        <w:bidi w:val="0"/>
        <w:spacing w:before="0" w:after="0" w:line="240" w:lineRule="auto"/>
        <w:ind w:left="363" w:right="0" w:firstLine="0"/>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t>Husband Heirs</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3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Relationship</w:t>
            </w:r>
          </w:p>
        </w:tc>
      </w:tr>
      <w:tr>
        <w:tblPrEx>
          <w:shd w:val="clear" w:color="auto" w:fill="ced7e7"/>
        </w:tblPrEx>
        <w:trPr>
          <w:trHeight w:val="27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{#husbandHeirs}{heirName}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{heirRelationship}{/husbandHeirs}</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p>
    <w:p>
      <w:pPr>
        <w:keepNext w:val="0"/>
        <w:keepLines w:val="0"/>
        <w:pageBreakBefore w:val="0"/>
        <w:widowControl w:val="0"/>
        <w:shd w:val="clear" w:color="auto" w:fill="auto"/>
        <w:tabs>
          <w:tab w:val="left" w:pos="5270"/>
        </w:tabs>
        <w:suppressAutoHyphens w:val="0"/>
        <w:bidi w:val="0"/>
        <w:spacing w:before="123" w:after="0" w:line="240" w:lineRule="auto"/>
        <w:ind w:left="501" w:right="0" w:hanging="501"/>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205" w:after="0" w:line="290" w:lineRule="auto"/>
        <w:ind w:left="357" w:right="0" w:firstLine="3"/>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363" w:right="0" w:firstLine="0"/>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t>Wife Heirs</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3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Relationship</w:t>
            </w:r>
          </w:p>
        </w:tc>
      </w:tr>
      <w:tr>
        <w:tblPrEx>
          <w:shd w:val="clear" w:color="auto" w:fill="ced7e7"/>
        </w:tblPrEx>
        <w:trPr>
          <w:trHeight w:val="27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{#wifeHeirs}{heirName}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{heirRelationship}{/wifeHeirs}</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pStyle w:val="Compact"/>
        <w:numPr>
          <w:ilvl w:val="0"/>
          <w:numId w:val="32"/>
        </w:numPr>
        <w:rPr>
          <w:lang w:val="en-US"/>
        </w:rPr>
      </w:pPr>
      <w:r>
        <w:rPr>
          <w:rFonts w:ascii="Cambria Bold" w:hAnsi="Cambria Bold"/>
          <w:u w:val="single"/>
          <w:rtl w:val="0"/>
          <w:lang w:val="en-US"/>
        </w:rPr>
        <w:t>Trustee Upon First Death:</w:t>
      </w:r>
      <w:r>
        <w:rPr>
          <w:rtl w:val="0"/>
          <w:lang w:val="en-US"/>
        </w:rPr>
        <w:t xml:space="preserve"> Upon the death of the first Grantor to die,</w:t>
      </w:r>
    </w:p>
    <w:p>
      <w:pPr>
        <w:pStyle w:val="First Paragraph"/>
      </w:pPr>
      <w:r>
        <w:rPr>
          <w:rtl w:val="0"/>
          <w:lang w:val="en-US"/>
        </w:rPr>
        <w:t>{#survivorServes}</w:t>
      </w:r>
    </w:p>
    <w:p>
      <w:pPr>
        <w:pStyle w:val="Block Text"/>
      </w:pPr>
      <w:r>
        <w:rPr>
          <w:rtl w:val="0"/>
          <w:lang w:val="en-US"/>
        </w:rPr>
        <w:t>the surviving Grantor shall serve as sole Trustee of this Trust and any trusts created under this instrument.</w:t>
      </w:r>
    </w:p>
    <w:p>
      <w:pPr>
        <w:pStyle w:val="First Paragraph"/>
      </w:pPr>
      <w:r>
        <w:rPr>
          <w:rtl w:val="0"/>
          <w:lang w:val="en-US"/>
        </w:rPr>
        <w:t>{/survivorServes}</w:t>
      </w:r>
    </w:p>
    <w:p>
      <w:pPr>
        <w:pStyle w:val="Body Text"/>
      </w:pPr>
      <w:r>
        <w:rPr>
          <w:rtl w:val="0"/>
          <w:lang w:val="en-US"/>
        </w:rPr>
        <w:t>{^survivorServes}</w:t>
      </w:r>
    </w:p>
    <w:p>
      <w:pPr>
        <w:pStyle w:val="Block Text"/>
      </w:pPr>
      <w:r>
        <w:rPr>
          <w:rtl w:val="0"/>
          <w:lang w:val="en-US"/>
        </w:rPr>
        <w:t>the surviving Grantor shall not serve as Trustee, and the successor Trustee or Trustees named in Section C shall serve immediately.</w:t>
      </w:r>
    </w:p>
    <w:p>
      <w:pPr>
        <w:pStyle w:val="First Paragraph"/>
      </w:pPr>
      <w:r>
        <w:rPr>
          <w:rtl w:val="0"/>
          <w:lang w:val="en-US"/>
        </w:rPr>
        <w:t>{/survivorServes}</w:t>
      </w:r>
    </w:p>
    <w:p>
      <w:pPr>
        <w:pStyle w:val="Compact"/>
        <w:numPr>
          <w:ilvl w:val="0"/>
          <w:numId w:val="33"/>
        </w:numPr>
        <w:rPr>
          <w:lang w:val="en-US"/>
        </w:rPr>
      </w:pPr>
      <w:r>
        <w:rPr>
          <w:rFonts w:ascii="Cambria Bold" w:hAnsi="Cambria Bold"/>
          <w:u w:val="single"/>
          <w:rtl w:val="0"/>
          <w:lang w:val="en-US"/>
        </w:rPr>
        <w:t>Successor Trustees</w:t>
      </w:r>
      <w:r>
        <w:rPr>
          <w:rtl w:val="0"/>
          <w:lang w:val="en-US"/>
        </w:rPr>
        <w:t>: If no Grantor is serving as Trustee due to death, incapacity, resignation, or removal, the following individuals shall serve as successor Trustee, in the order listed below</w:t>
      </w:r>
    </w:p>
    <w:p>
      <w:pPr>
        <w:pStyle w:val="First Paragraph"/>
      </w:pPr>
      <w:bookmarkStart w:name="ourfamily2" w:id="12"/>
      <w:r>
        <w:rPr>
          <w:rFonts w:ascii="Cambria Bold" w:hAnsi="Cambria Bold"/>
          <w:rtl w:val="0"/>
          <w:lang w:val="en-US"/>
        </w:rPr>
        <w:t xml:space="preserve">{husbandFullName} </w:t>
      </w:r>
      <w:r>
        <w:rPr>
          <w:rFonts w:ascii="Cambria Bold" w:hAnsi="Cambria Bold" w:hint="default"/>
          <w:rtl w:val="0"/>
          <w:lang w:val="en-US"/>
        </w:rPr>
        <w:t xml:space="preserve">— </w:t>
      </w:r>
      <w:r>
        <w:rPr>
          <w:rFonts w:ascii="Cambria Bold" w:hAnsi="Cambria Bold"/>
          <w:rtl w:val="0"/>
          <w:lang w:val="en-US"/>
        </w:rPr>
        <w:t>Successor Trustees:</w:t>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{#husbandTrustees}</w:t>
      </w:r>
    </w:p>
    <w:p>
      <w:pPr>
        <w:keepNext w:val="0"/>
        <w:keepLines w:val="0"/>
        <w:pageBreakBefore w:val="0"/>
        <w:widowControl w:val="0"/>
        <w:numPr>
          <w:ilvl w:val="1"/>
          <w:numId w:val="2"/>
        </w:numPr>
        <w:shd w:val="clear" w:color="auto" w:fill="auto"/>
        <w:suppressAutoHyphens w:val="0"/>
        <w:bidi w:val="0"/>
        <w:spacing w:before="142"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7"/>
          <w:szCs w:val="27"/>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w:t>
        <w:tab/>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{/husbandTrustees}</w:t>
      </w:r>
    </w:p>
    <w:p>
      <w:pPr>
        <w:pStyle w:val="Body Text"/>
      </w:pPr>
      <w:r>
        <w:rPr>
          <w:rFonts w:ascii="Cambria Bold" w:hAnsi="Cambria Bold"/>
          <w:rtl w:val="0"/>
          <w:lang w:val="en-US"/>
        </w:rPr>
        <w:t xml:space="preserve">{wifeFullName} </w:t>
      </w:r>
      <w:r>
        <w:rPr>
          <w:rFonts w:ascii="Cambria Bold" w:hAnsi="Cambria Bold" w:hint="default"/>
          <w:rtl w:val="0"/>
          <w:lang w:val="en-US"/>
        </w:rPr>
        <w:t xml:space="preserve">— </w:t>
      </w:r>
      <w:r>
        <w:rPr>
          <w:rFonts w:ascii="Cambria Bold" w:hAnsi="Cambria Bold"/>
          <w:rtl w:val="0"/>
          <w:lang w:val="en-US"/>
        </w:rPr>
        <w:t>Successor Trustees:</w:t>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{#wifeTrustees}</w:t>
      </w:r>
    </w:p>
    <w:p>
      <w:pPr>
        <w:keepNext w:val="0"/>
        <w:keepLines w:val="0"/>
        <w:pageBreakBefore w:val="0"/>
        <w:widowControl w:val="0"/>
        <w:numPr>
          <w:ilvl w:val="1"/>
          <w:numId w:val="34"/>
        </w:numPr>
        <w:shd w:val="clear" w:color="auto" w:fill="auto"/>
        <w:suppressAutoHyphens w:val="0"/>
        <w:bidi w:val="0"/>
        <w:spacing w:before="142"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7"/>
          <w:szCs w:val="27"/>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w:t>
        <w:tab/>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14:textOutline w14:w="12700" w14:cap="flat">
            <w14:noFill/>
            <w14:miter w14:lim="400000"/>
          </w14:textOutline>
          <w14:textFill>
            <w14:solidFill>
              <w14:srgbClr w14:val="030303"/>
            </w14:solidFill>
          </w14:textFill>
        </w:rPr>
      </w:pPr>
      <w:bookmarkEnd w:id="12"/>
      <w:bookmarkEnd w:id="11"/>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7"/>
          <w:szCs w:val="27"/>
          <w:u w:val="none" w:color="030303"/>
          <w:shd w:val="nil" w:color="auto" w:fill="auto"/>
          <w:vertAlign w:val="baseline"/>
          <w:rtl w:val="0"/>
          <w:lang w:val="en-US"/>
          <w14:textOutline w14:w="12700" w14:cap="flat">
            <w14:noFill/>
            <w14:miter w14:lim="400000"/>
          </w14:textOutline>
          <w14:textFill>
            <w14:solidFill>
              <w14:srgbClr w14:val="030303"/>
            </w14:solidFill>
          </w14:textFill>
        </w:rPr>
        <w:t xml:space="preserve">{/wifeTrustees} </w:t>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Only one successor Trustee shall serve at a time, and each successor shall serve individually.</w:t>
      </w:r>
    </w:p>
    <w:p>
      <w:pPr>
        <w:keepNext w:val="0"/>
        <w:keepLines w:val="0"/>
        <w:pageBreakBefore w:val="0"/>
        <w:widowControl w:val="0"/>
        <w:shd w:val="clear" w:color="auto" w:fill="auto"/>
        <w:tabs>
          <w:tab w:val="left" w:pos="1564"/>
        </w:tabs>
        <w:suppressAutoHyphens w:val="0"/>
        <w:bidi w:val="0"/>
        <w:spacing w:before="142"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pStyle w:val="Body"/>
        <w:numPr>
          <w:ilvl w:val="0"/>
          <w:numId w:val="35"/>
        </w:numPr>
        <w:rPr>
          <w:lang w:val="en-US"/>
        </w:rPr>
      </w:pPr>
      <w:r>
        <w:rPr>
          <w:rFonts w:ascii="Cambria Bold" w:hAnsi="Cambria Bold"/>
          <w:u w:val="single"/>
          <w:rtl w:val="0"/>
          <w:lang w:val="en-US"/>
        </w:rPr>
        <w:t>Resignation</w:t>
      </w:r>
      <w:r>
        <w:rPr>
          <w:rFonts w:ascii="Cambria Bold" w:hAnsi="Cambria Bold"/>
          <w:rtl w:val="0"/>
        </w:rPr>
        <w:t>:</w:t>
      </w:r>
      <w:r>
        <w:rPr>
          <w:rtl w:val="0"/>
          <w:lang w:val="en-US"/>
        </w:rPr>
        <w:t xml:space="preserve"> A Trustee may resign by written notice delivered to:</w:t>
      </w:r>
    </w:p>
    <w:p>
      <w:pPr>
        <w:pStyle w:val="Body"/>
        <w:numPr>
          <w:ilvl w:val="1"/>
          <w:numId w:val="36"/>
        </w:numPr>
        <w:rPr>
          <w:lang w:val="en-US"/>
        </w:rPr>
      </w:pPr>
      <w:r>
        <w:rPr>
          <w:rtl w:val="0"/>
          <w:lang w:val="en-US"/>
        </w:rPr>
        <w:t>The Grantors, if living;</w:t>
      </w:r>
    </w:p>
    <w:p>
      <w:pPr>
        <w:pStyle w:val="Body"/>
        <w:numPr>
          <w:ilvl w:val="1"/>
          <w:numId w:val="10"/>
        </w:numPr>
        <w:rPr>
          <w:lang w:val="en-US"/>
        </w:rPr>
      </w:pPr>
      <w:r>
        <w:rPr>
          <w:rtl w:val="0"/>
          <w:lang w:val="en-US"/>
        </w:rPr>
        <w:t>The then-serving Co-Trustee; or</w:t>
      </w:r>
    </w:p>
    <w:p>
      <w:pPr>
        <w:pStyle w:val="Body"/>
        <w:numPr>
          <w:ilvl w:val="1"/>
          <w:numId w:val="10"/>
        </w:numPr>
        <w:rPr>
          <w:lang w:val="en-US"/>
        </w:rPr>
      </w:pPr>
      <w:r>
        <w:rPr>
          <w:rtl w:val="0"/>
          <w:lang w:val="en-US"/>
        </w:rPr>
        <w:t>The majority of adult Income Beneficiaries, if no Grantor is living.</w:t>
      </w:r>
    </w:p>
    <w:p>
      <w:pPr>
        <w:pStyle w:val="First Paragraph"/>
      </w:pPr>
      <w:r>
        <w:rPr>
          <w:rtl w:val="0"/>
          <w:lang w:val="en-US"/>
        </w:rPr>
        <w:t>Resignation shall become effective upon acceptance by a successor Trustee or on the date specified in the notice.</w:t>
      </w:r>
    </w:p>
    <w:p>
      <w:pPr>
        <w:pStyle w:val="Body"/>
        <w:numPr>
          <w:ilvl w:val="0"/>
          <w:numId w:val="37"/>
        </w:numPr>
        <w:rPr>
          <w:lang w:val="en-US"/>
        </w:rPr>
      </w:pPr>
      <w:r>
        <w:rPr>
          <w:rFonts w:ascii="Cambria Bold" w:hAnsi="Cambria Bold"/>
          <w:u w:val="single"/>
          <w:rtl w:val="0"/>
          <w:lang w:val="en-US"/>
        </w:rPr>
        <w:t>Removal of Trustee:</w:t>
      </w:r>
      <w:r>
        <w:rPr>
          <w:rtl w:val="0"/>
          <w:lang w:val="en-US"/>
        </w:rPr>
        <w:t xml:space="preserve"> During their joint lifetimes, the Grantors may remove any Trustee at any time, with or without cause. After the death of one Grantor, the surviving Grantor (if serving) may remove any Trustee. After the death of both Grantors, a majority of the adult Income Beneficiaries of the relevant trust may remove a Trustee and appoint a successor. Any removal shall be effective only upon the written appointment and acceptance of a successor Trustee. No successor Trustee appointed by beneficiaries shall be related or subordinate to any removing beneficiary within the meaning of Internal Revenue Code Section 672(c). A minor or incapacitated beneficiary</w:t>
      </w:r>
      <w:r>
        <w:rPr>
          <w:rtl w:val="1"/>
        </w:rPr>
        <w:t>’</w:t>
      </w:r>
      <w:r>
        <w:rPr>
          <w:rtl w:val="0"/>
          <w:lang w:val="en-US"/>
        </w:rPr>
        <w:t>s parent or legal representative may act on that beneficiary</w:t>
      </w:r>
      <w:r>
        <w:rPr>
          <w:rtl w:val="1"/>
        </w:rPr>
        <w:t>’</w:t>
      </w:r>
      <w:r>
        <w:rPr>
          <w:rtl w:val="0"/>
          <w:lang w:val="de-DE"/>
        </w:rPr>
        <w:t>s behalf.</w:t>
      </w:r>
    </w:p>
    <w:p>
      <w:pPr>
        <w:pStyle w:val="Body"/>
        <w:numPr>
          <w:ilvl w:val="0"/>
          <w:numId w:val="13"/>
        </w:numPr>
        <w:rPr>
          <w:lang w:val="en-US"/>
        </w:rPr>
      </w:pPr>
      <w:r>
        <w:rPr>
          <w:rFonts w:ascii="Cambria Bold" w:hAnsi="Cambria Bold"/>
          <w:u w:val="single"/>
          <w:rtl w:val="0"/>
          <w:lang w:val="en-US"/>
        </w:rPr>
        <w:t>Vacancy:</w:t>
      </w:r>
      <w:r>
        <w:rPr>
          <w:rtl w:val="0"/>
          <w:lang w:val="en-US"/>
        </w:rPr>
        <w:t xml:space="preserve"> If a vacancy exists and no designated successor is willing or able to serve:</w:t>
      </w:r>
    </w:p>
    <w:p>
      <w:pPr>
        <w:pStyle w:val="Body"/>
        <w:numPr>
          <w:ilvl w:val="1"/>
          <w:numId w:val="38"/>
        </w:numPr>
        <w:rPr>
          <w:lang w:val="en-US"/>
        </w:rPr>
      </w:pPr>
      <w:r>
        <w:rPr>
          <w:rtl w:val="0"/>
          <w:lang w:val="en-US"/>
        </w:rPr>
        <w:t>During the lifetime of a Grantor, the acting Grantor may appoint a successor Trustee.</w:t>
      </w:r>
    </w:p>
    <w:p>
      <w:pPr>
        <w:pStyle w:val="Body"/>
        <w:numPr>
          <w:ilvl w:val="1"/>
          <w:numId w:val="10"/>
        </w:numPr>
        <w:rPr>
          <w:lang w:val="en-US"/>
        </w:rPr>
      </w:pPr>
      <w:r>
        <w:rPr>
          <w:rtl w:val="0"/>
          <w:lang w:val="en-US"/>
        </w:rPr>
        <w:t>After both Grantors</w:t>
      </w:r>
      <w:r>
        <w:rPr>
          <w:rtl w:val="1"/>
        </w:rPr>
        <w:t xml:space="preserve">’ </w:t>
      </w:r>
      <w:r>
        <w:rPr>
          <w:rtl w:val="0"/>
          <w:lang w:val="en-US"/>
        </w:rPr>
        <w:t>deaths, a majority of adult beneficiaries may appoint a successor Trustee.</w:t>
      </w:r>
    </w:p>
    <w:p>
      <w:pPr>
        <w:pStyle w:val="Body"/>
        <w:numPr>
          <w:ilvl w:val="0"/>
          <w:numId w:val="39"/>
        </w:numPr>
        <w:rPr>
          <w:lang w:val="en-US"/>
        </w:rPr>
      </w:pPr>
      <w:r>
        <w:rPr>
          <w:rtl w:val="0"/>
          <w:lang w:val="en-US"/>
        </w:rPr>
        <w:t>Rights and Powers of Successor Trustees: Each successor Trustee shall have all rights, powers, privileges, and duties granted to the initial Trustees under this Trust Agreement.</w:t>
      </w:r>
    </w:p>
    <w:p>
      <w:pPr>
        <w:pStyle w:val="Heading"/>
      </w:pPr>
      <w:bookmarkStart w:name="articleeight" w:id="13"/>
      <w:r>
        <w:rPr>
          <w:rFonts w:cs="Arial Unicode MS" w:eastAsia="Arial Unicode MS"/>
          <w:rtl w:val="0"/>
          <w:lang w:val="de-DE"/>
        </w:rPr>
        <w:t>ARTICLE EIGHT</w:t>
      </w:r>
      <w:bookmarkEnd w:id="13"/>
    </w:p>
    <w:p>
      <w:pPr>
        <w:pStyle w:val="Heading 2"/>
      </w:pPr>
      <w:bookmarkStart w:name="X2f88f6145cf2b2522f2e1be0b6aeebb632286de" w:id="14"/>
      <w:r>
        <w:rPr>
          <w:rFonts w:cs="Arial Unicode MS" w:eastAsia="Arial Unicode MS"/>
          <w:rtl w:val="0"/>
          <w:lang w:val="en-US"/>
        </w:rPr>
        <w:t>Administration During a Grantor</w:t>
      </w:r>
      <w:r>
        <w:rPr>
          <w:rFonts w:cs="Arial Unicode MS" w:eastAsia="Arial Unicode MS" w:hint="default"/>
          <w:rtl w:val="1"/>
        </w:rPr>
        <w:t>’</w:t>
      </w:r>
      <w:r>
        <w:rPr>
          <w:rFonts w:cs="Arial Unicode MS" w:eastAsia="Arial Unicode MS"/>
          <w:rtl w:val="0"/>
          <w:lang w:val="en-US"/>
        </w:rPr>
        <w:t>s Incapacity</w:t>
      </w:r>
    </w:p>
    <w:p>
      <w:pPr>
        <w:pStyle w:val="Reader Note"/>
      </w:pPr>
      <w:r>
        <w:rPr>
          <w:rFonts w:ascii="Cambria Bold" w:hAnsi="Cambria Bold"/>
          <w:i w:val="1"/>
          <w:iCs w:val="1"/>
          <w:rtl w:val="0"/>
          <w:lang w:val="en-US"/>
        </w:rPr>
        <w:t>In plain language.</w:t>
      </w:r>
      <w:r>
        <w:rPr>
          <w:rtl w:val="0"/>
          <w:lang w:val="en-US"/>
        </w:rPr>
        <w:t xml:space="preserve"> This Article covers what happens if a spouse becomes unable to manage his or her own affairs. It defines incapacity, sets out how it is established, and allows the other spouse or a successor Trustee to carry on without a court guardianship.</w:t>
      </w:r>
    </w:p>
    <w:p>
      <w:pPr>
        <w:pStyle w:val="Trustee Note"/>
      </w:pPr>
      <w:r>
        <w:rPr>
          <w:rFonts w:ascii="Cambria Bold" w:hAnsi="Cambria Bold"/>
          <w:i w:val="1"/>
          <w:iCs w:val="1"/>
          <w:rtl w:val="0"/>
          <w:lang w:val="en-US"/>
        </w:rPr>
        <w:t>Note to the Trustee.</w:t>
      </w:r>
      <w:r>
        <w:rPr>
          <w:rtl w:val="0"/>
          <w:lang w:val="en-US"/>
        </w:rPr>
        <w:t xml:space="preserve"> Do not act on incapacity informally. This Article requires documentation, such as a physician</w:t>
      </w:r>
      <w:r>
        <w:rPr>
          <w:rtl w:val="0"/>
          <w:lang w:val="en-US"/>
        </w:rPr>
        <w:t>’</w:t>
      </w:r>
      <w:r>
        <w:rPr>
          <w:rtl w:val="0"/>
          <w:lang w:val="en-US"/>
        </w:rPr>
        <w:t>s written certification or one of the other methods listed, before you may step in. Keep that document with the Trust records; a bank will ask to see it.</w:t>
      </w:r>
    </w:p>
    <w:p>
      <w:pPr>
        <w:pStyle w:val="Body"/>
        <w:numPr>
          <w:ilvl w:val="0"/>
          <w:numId w:val="40"/>
        </w:numPr>
        <w:rPr>
          <w:lang w:val="en-US"/>
        </w:rPr>
      </w:pPr>
      <w:r>
        <w:rPr>
          <w:rFonts w:ascii="Cambria Bold" w:hAnsi="Cambria Bold"/>
          <w:u w:val="single"/>
          <w:rtl w:val="0"/>
          <w:lang w:val="en-US"/>
        </w:rPr>
        <w:t>Definition of a Grantor</w:t>
      </w:r>
      <w:r>
        <w:rPr>
          <w:rFonts w:ascii="Cambria Bold" w:hAnsi="Cambria Bold" w:hint="default"/>
          <w:u w:val="single"/>
          <w:rtl w:val="1"/>
        </w:rPr>
        <w:t>’</w:t>
      </w:r>
      <w:r>
        <w:rPr>
          <w:rFonts w:ascii="Cambria Bold" w:hAnsi="Cambria Bold"/>
          <w:u w:val="single"/>
          <w:rtl w:val="0"/>
          <w:lang w:val="en-US"/>
        </w:rPr>
        <w:t>s Incapacity:</w:t>
      </w:r>
      <w:r>
        <w:rPr>
          <w:rtl w:val="0"/>
          <w:lang w:val="en-US"/>
        </w:rPr>
        <w:t xml:space="preserve"> A Grantor shall be deemed incapacitated if the Grantor is unable to manage his or her financial, property, or business affairs effectively due to illness, injury, advanced age, or other cause.</w:t>
      </w:r>
    </w:p>
    <w:p>
      <w:pPr>
        <w:pStyle w:val="Body"/>
        <w:numPr>
          <w:ilvl w:val="0"/>
          <w:numId w:val="2"/>
        </w:numPr>
        <w:rPr>
          <w:lang w:val="en-US"/>
        </w:rPr>
      </w:pPr>
      <w:r>
        <w:rPr>
          <w:rFonts w:ascii="Cambria Bold" w:hAnsi="Cambria Bold"/>
          <w:u w:val="single"/>
          <w:rtl w:val="0"/>
          <w:lang w:val="en-US"/>
        </w:rPr>
        <w:t>Determination of Incapacity:</w:t>
      </w:r>
      <w:r>
        <w:rPr>
          <w:rtl w:val="0"/>
          <w:lang w:val="en-US"/>
        </w:rPr>
        <w:t xml:space="preserve"> A determination of incapacity may be established by any of the following:</w:t>
      </w:r>
    </w:p>
    <w:p>
      <w:pPr>
        <w:pStyle w:val="Body"/>
        <w:numPr>
          <w:ilvl w:val="1"/>
          <w:numId w:val="41"/>
        </w:numPr>
        <w:rPr>
          <w:lang w:val="en-US"/>
        </w:rPr>
      </w:pPr>
      <w:r>
        <w:rPr>
          <w:rtl w:val="0"/>
          <w:lang w:val="en-US"/>
        </w:rPr>
        <w:t>A written certification by one licensed physician who has examined the Grantor within a reasonable time;</w:t>
      </w:r>
    </w:p>
    <w:p>
      <w:pPr>
        <w:pStyle w:val="Body"/>
        <w:numPr>
          <w:ilvl w:val="1"/>
          <w:numId w:val="10"/>
        </w:numPr>
        <w:rPr>
          <w:lang w:val="en-US"/>
        </w:rPr>
      </w:pPr>
      <w:r>
        <w:rPr>
          <w:rtl w:val="0"/>
          <w:lang w:val="en-US"/>
        </w:rPr>
        <w:t>A written determination by a court of competent jurisdiction; or</w:t>
      </w:r>
    </w:p>
    <w:p>
      <w:pPr>
        <w:pStyle w:val="Body"/>
        <w:numPr>
          <w:ilvl w:val="1"/>
          <w:numId w:val="10"/>
        </w:numPr>
        <w:rPr>
          <w:lang w:val="en-US"/>
        </w:rPr>
      </w:pPr>
      <w:r>
        <w:rPr>
          <w:rtl w:val="0"/>
          <w:lang w:val="en-US"/>
        </w:rPr>
        <w:t>If one Grantor is not incapacitated, the written determination of that Grantor together with the written certification of one licensed physician.</w:t>
      </w:r>
    </w:p>
    <w:p>
      <w:pPr>
        <w:pStyle w:val="Block Text"/>
      </w:pPr>
      <w:r>
        <w:rPr>
          <w:rtl w:val="0"/>
          <w:lang w:val="en-US"/>
        </w:rPr>
        <w:t>The Trustee may rely conclusively on any such written determination without further inquiry.</w:t>
      </w:r>
    </w:p>
    <w:p>
      <w:pPr>
        <w:pStyle w:val="Body"/>
        <w:numPr>
          <w:ilvl w:val="0"/>
          <w:numId w:val="42"/>
        </w:numPr>
        <w:rPr>
          <w:lang w:val="en-US"/>
        </w:rPr>
      </w:pPr>
      <w:r>
        <w:rPr>
          <w:rFonts w:ascii="Cambria Bold" w:hAnsi="Cambria Bold"/>
          <w:u w:val="single"/>
          <w:rtl w:val="0"/>
          <w:lang w:val="en-US"/>
        </w:rPr>
        <w:t>Restoration of Capacity:</w:t>
      </w:r>
      <w:r>
        <w:rPr>
          <w:rtl w:val="0"/>
          <w:lang w:val="en-US"/>
        </w:rPr>
        <w:t xml:space="preserve"> A Grantor shall be deemed restored to capacity upon written certification by a licensed physician stating that the Grantor is able to manage his or her financial affairs.</w:t>
      </w:r>
    </w:p>
    <w:p>
      <w:pPr>
        <w:pStyle w:val="Body"/>
        <w:numPr>
          <w:ilvl w:val="0"/>
          <w:numId w:val="7"/>
        </w:numPr>
        <w:rPr>
          <w:lang w:val="en-US"/>
        </w:rPr>
      </w:pPr>
      <w:r>
        <w:rPr>
          <w:rFonts w:ascii="Cambria Bold" w:hAnsi="Cambria Bold"/>
          <w:u w:val="single"/>
          <w:rtl w:val="0"/>
          <w:lang w:val="en-US"/>
        </w:rPr>
        <w:t>Temporary Incapacity Due to Absence:</w:t>
      </w:r>
      <w:r>
        <w:rPr>
          <w:rtl w:val="0"/>
          <w:lang w:val="en-US"/>
        </w:rPr>
        <w:t xml:space="preserve"> A Grantor shall also be deemed incapacitated if the Grantor is missing, detained, or otherwise unable to communicate for a period exceeding thirty (30) days under circumstances reasonably indicating inability to manage financial affairs. Such incapacity may be established by an affidavit of the acting Trustee describing the circumstances. A third party acting in good faith may rely upon such affidavit. Capacity shall be deemed restored upon written notice from the Grantor demonstrating the ability to resume management of financial affairs.</w:t>
      </w:r>
    </w:p>
    <w:p>
      <w:pPr>
        <w:pStyle w:val="Body"/>
        <w:numPr>
          <w:ilvl w:val="0"/>
          <w:numId w:val="7"/>
        </w:numPr>
        <w:rPr>
          <w:lang w:val="en-US"/>
        </w:rPr>
      </w:pPr>
      <w:r>
        <w:rPr>
          <w:rFonts w:ascii="Cambria Bold" w:hAnsi="Cambria Bold"/>
          <w:u w:val="single"/>
          <w:rtl w:val="0"/>
          <w:lang w:val="en-US"/>
        </w:rPr>
        <w:t>Trustee Authority During Incapacity:</w:t>
      </w:r>
      <w:r>
        <w:rPr>
          <w:rtl w:val="0"/>
          <w:lang w:val="en-US"/>
        </w:rPr>
        <w:t xml:space="preserve"> During a Grantor</w:t>
      </w:r>
      <w:r>
        <w:rPr>
          <w:rtl w:val="1"/>
        </w:rPr>
        <w:t>’</w:t>
      </w:r>
      <w:r>
        <w:rPr>
          <w:rtl w:val="0"/>
          <w:lang w:val="en-US"/>
        </w:rPr>
        <w:t>s incapacity, the Trustee may administer and distribute that Grantor</w:t>
      </w:r>
      <w:r>
        <w:rPr>
          <w:rtl w:val="1"/>
        </w:rPr>
        <w:t>’</w:t>
      </w:r>
      <w:r>
        <w:rPr>
          <w:rtl w:val="0"/>
          <w:lang w:val="en-US"/>
        </w:rPr>
        <w:t>s separate property and allocated share of community property for:</w:t>
      </w:r>
    </w:p>
    <w:p>
      <w:pPr>
        <w:pStyle w:val="Body"/>
        <w:numPr>
          <w:ilvl w:val="1"/>
          <w:numId w:val="43"/>
        </w:numPr>
        <w:rPr>
          <w:lang w:val="en-US"/>
        </w:rPr>
      </w:pPr>
      <w:r>
        <w:rPr>
          <w:rtl w:val="0"/>
          <w:lang w:val="en-US"/>
        </w:rPr>
        <w:t>The Grantor</w:t>
      </w:r>
      <w:r>
        <w:rPr>
          <w:rtl w:val="1"/>
        </w:rPr>
        <w:t>’</w:t>
      </w:r>
      <w:r>
        <w:rPr>
          <w:rtl w:val="0"/>
          <w:lang w:val="en-US"/>
        </w:rPr>
        <w:t>s health, support, and reasonable comfort;</w:t>
      </w:r>
    </w:p>
    <w:p>
      <w:pPr>
        <w:pStyle w:val="Body"/>
        <w:numPr>
          <w:ilvl w:val="1"/>
          <w:numId w:val="10"/>
        </w:numPr>
        <w:rPr>
          <w:lang w:val="en-US"/>
        </w:rPr>
      </w:pPr>
      <w:r>
        <w:rPr>
          <w:rtl w:val="0"/>
          <w:lang w:val="en-US"/>
        </w:rPr>
        <w:t>The Grantor</w:t>
      </w:r>
      <w:r>
        <w:rPr>
          <w:rtl w:val="1"/>
        </w:rPr>
        <w:t>’</w:t>
      </w:r>
      <w:r>
        <w:rPr>
          <w:rtl w:val="0"/>
          <w:lang w:val="en-US"/>
        </w:rPr>
        <w:t>s best interests and welfare; and</w:t>
      </w:r>
    </w:p>
    <w:p>
      <w:pPr>
        <w:pStyle w:val="Body"/>
        <w:numPr>
          <w:ilvl w:val="1"/>
          <w:numId w:val="10"/>
        </w:numPr>
        <w:rPr>
          <w:lang w:val="en-US"/>
        </w:rPr>
      </w:pPr>
      <w:r>
        <w:rPr>
          <w:rtl w:val="0"/>
          <w:lang w:val="en-US"/>
        </w:rPr>
        <w:t>The support of any person dependent upon the Grantor.</w:t>
      </w:r>
    </w:p>
    <w:p>
      <w:pPr>
        <w:pStyle w:val="First Paragraph"/>
      </w:pPr>
      <w:r>
        <w:rPr>
          <w:rtl w:val="0"/>
          <w:lang w:val="en-US"/>
        </w:rPr>
        <w:t>The Trustee shall act in good faith and in a manner consistent with the incapacitated Grantor</w:t>
      </w:r>
      <w:r>
        <w:rPr>
          <w:rtl w:val="0"/>
          <w:lang w:val="en-US"/>
        </w:rPr>
        <w:t>’</w:t>
      </w:r>
      <w:r>
        <w:rPr>
          <w:rtl w:val="0"/>
          <w:lang w:val="en-US"/>
        </w:rPr>
        <w:t>s best interests and customary standard of living.</w:t>
      </w:r>
    </w:p>
    <w:p>
      <w:pPr>
        <w:pStyle w:val="Body Text"/>
      </w:pPr>
      <w:r>
        <w:rPr>
          <w:rtl w:val="0"/>
          <w:lang w:val="en-US"/>
        </w:rPr>
        <w:t>The Trustee may make distributions directly to:</w:t>
      </w:r>
    </w:p>
    <w:p>
      <w:pPr>
        <w:pStyle w:val="Body"/>
        <w:numPr>
          <w:ilvl w:val="0"/>
          <w:numId w:val="44"/>
        </w:numPr>
        <w:rPr>
          <w:lang w:val="en-US"/>
        </w:rPr>
      </w:pPr>
      <w:r>
        <w:rPr>
          <w:rtl w:val="0"/>
          <w:lang w:val="en-US"/>
        </w:rPr>
        <w:t>The incapacitated Grantor;</w:t>
      </w:r>
    </w:p>
    <w:p>
      <w:pPr>
        <w:pStyle w:val="Body"/>
        <w:numPr>
          <w:ilvl w:val="0"/>
          <w:numId w:val="10"/>
        </w:numPr>
        <w:rPr>
          <w:lang w:val="en-US"/>
        </w:rPr>
      </w:pPr>
      <w:r>
        <w:rPr>
          <w:rtl w:val="0"/>
          <w:lang w:val="en-US"/>
        </w:rPr>
        <w:t>An agent acting under a valid durable power of attorney;</w:t>
      </w:r>
    </w:p>
    <w:p>
      <w:pPr>
        <w:pStyle w:val="Body"/>
        <w:numPr>
          <w:ilvl w:val="0"/>
          <w:numId w:val="10"/>
        </w:numPr>
        <w:rPr>
          <w:lang w:val="en-US"/>
        </w:rPr>
      </w:pPr>
      <w:r>
        <w:rPr>
          <w:rtl w:val="0"/>
          <w:lang w:val="en-US"/>
        </w:rPr>
        <w:t>A court-appointed guardian or conservator; or</w:t>
      </w:r>
    </w:p>
    <w:p>
      <w:pPr>
        <w:pStyle w:val="Body"/>
        <w:numPr>
          <w:ilvl w:val="0"/>
          <w:numId w:val="10"/>
        </w:numPr>
        <w:rPr>
          <w:lang w:val="en-US"/>
        </w:rPr>
      </w:pPr>
      <w:r>
        <w:rPr>
          <w:rtl w:val="0"/>
          <w:lang w:val="en-US"/>
        </w:rPr>
        <w:t>Any person or entity providing goods or services for the Grantor</w:t>
      </w:r>
      <w:r>
        <w:rPr>
          <w:rtl w:val="1"/>
        </w:rPr>
        <w:t>’</w:t>
      </w:r>
      <w:r>
        <w:rPr>
          <w:rtl w:val="0"/>
          <w:lang w:val="en-US"/>
        </w:rPr>
        <w:t>s benefit.</w:t>
      </w:r>
    </w:p>
    <w:p>
      <w:pPr>
        <w:pStyle w:val="First Paragraph"/>
      </w:pPr>
      <w:r>
        <w:rPr>
          <w:rtl w:val="0"/>
          <w:lang w:val="en-US"/>
        </w:rPr>
        <w:t>The Trustee</w:t>
      </w:r>
      <w:r>
        <w:rPr>
          <w:rtl w:val="0"/>
          <w:lang w:val="en-US"/>
        </w:rPr>
        <w:t>’</w:t>
      </w:r>
      <w:r>
        <w:rPr>
          <w:rtl w:val="0"/>
          <w:lang w:val="en-US"/>
        </w:rPr>
        <w:t>s determination of appropriate distributions during incapacity shall be made in good faith and shall be conclusive absent abuse of discretion.</w:t>
      </w:r>
      <w:bookmarkEnd w:id="14"/>
    </w:p>
    <w:p>
      <w:pPr>
        <w:pStyle w:val="Heading"/>
      </w:pPr>
      <w:bookmarkStart w:name="articlenine" w:id="15"/>
      <w:r>
        <w:rPr>
          <w:rFonts w:cs="Arial Unicode MS" w:eastAsia="Arial Unicode MS"/>
          <w:rtl w:val="0"/>
          <w:lang w:val="de-DE"/>
        </w:rPr>
        <w:t>ARTICLE NINE</w:t>
      </w:r>
      <w:bookmarkEnd w:id="15"/>
    </w:p>
    <w:p>
      <w:pPr>
        <w:pStyle w:val="Heading 2"/>
      </w:pPr>
      <w:bookmarkStart w:name="X128f79cf7752c1d092257dff4af53e298394e0d" w:id="16"/>
      <w:r>
        <w:rPr>
          <w:rFonts w:cs="Arial Unicode MS" w:eastAsia="Arial Unicode MS"/>
          <w:rtl w:val="0"/>
          <w:lang w:val="en-US"/>
        </w:rPr>
        <w:t>Administration of Our Trust upon the Death of a Grantor</w:t>
      </w:r>
    </w:p>
    <w:p>
      <w:pPr>
        <w:pStyle w:val="Reader Note"/>
      </w:pPr>
      <w:r>
        <w:rPr>
          <w:rFonts w:ascii="Cambria Bold" w:hAnsi="Cambria Bold"/>
          <w:i w:val="1"/>
          <w:iCs w:val="1"/>
          <w:rtl w:val="0"/>
          <w:lang w:val="en-US"/>
        </w:rPr>
        <w:t>In plain language.</w:t>
      </w:r>
      <w:r>
        <w:rPr>
          <w:rtl w:val="0"/>
          <w:lang w:val="en-US"/>
        </w:rPr>
        <w:t xml:space="preserve"> This Article is the first-death checklist. The Trustee takes an inventory and divides the property into two parts: the survivor</w:t>
      </w:r>
      <w:r>
        <w:rPr>
          <w:rtl w:val="0"/>
          <w:lang w:val="en-US"/>
        </w:rPr>
        <w:t>’</w:t>
      </w:r>
      <w:r>
        <w:rPr>
          <w:rtl w:val="0"/>
          <w:lang w:val="en-US"/>
        </w:rPr>
        <w:t>s share, which keeps serving the survivor, and the deceased spouse</w:t>
      </w:r>
      <w:r>
        <w:rPr>
          <w:rtl w:val="0"/>
          <w:lang w:val="en-US"/>
        </w:rPr>
        <w:t>’</w:t>
      </w:r>
      <w:r>
        <w:rPr>
          <w:rtl w:val="0"/>
          <w:lang w:val="en-US"/>
        </w:rPr>
        <w:t>s share, which is what Islamic inheritance is applied to.</w:t>
      </w:r>
    </w:p>
    <w:p>
      <w:pPr>
        <w:pStyle w:val="Compact"/>
        <w:numPr>
          <w:ilvl w:val="0"/>
          <w:numId w:val="45"/>
        </w:numPr>
        <w:rPr>
          <w:lang w:val="en-US"/>
        </w:rPr>
      </w:pPr>
      <w:r>
        <w:rPr>
          <w:rFonts w:ascii="Cambria Bold" w:hAnsi="Cambria Bold"/>
          <w:u w:val="single"/>
          <w:rtl w:val="0"/>
          <w:lang w:val="en-US"/>
        </w:rPr>
        <w:t>Division of Trust Property:</w:t>
      </w:r>
      <w:r>
        <w:rPr>
          <w:rtl w:val="0"/>
          <w:lang w:val="en-US"/>
        </w:rPr>
        <w:t xml:space="preserve"> Upon the death of the first Grantor to die, the Trustee shall prepare an informal inventory of all trust property.</w:t>
      </w:r>
    </w:p>
    <w:p>
      <w:pPr>
        <w:pStyle w:val="Block Text"/>
      </w:pPr>
      <w:r>
        <w:rPr>
          <w:rtl w:val="0"/>
          <w:lang w:val="en-US"/>
        </w:rPr>
        <w:t>The surviving Grantor</w:t>
      </w:r>
      <w:r>
        <w:rPr>
          <w:rtl w:val="0"/>
          <w:lang w:val="en-US"/>
        </w:rPr>
        <w:t>’</w:t>
      </w:r>
      <w:r>
        <w:rPr>
          <w:rtl w:val="0"/>
          <w:lang w:val="en-US"/>
        </w:rPr>
        <w:t>s separate property and allocated share of community property shall constitute the Survivor</w:t>
      </w:r>
      <w:r>
        <w:rPr>
          <w:rtl w:val="0"/>
          <w:lang w:val="en-US"/>
        </w:rPr>
        <w:t>’</w:t>
      </w:r>
      <w:r>
        <w:rPr>
          <w:rtl w:val="0"/>
          <w:lang w:val="en-US"/>
        </w:rPr>
        <w:t>s Trust, which shall continue to be administered for the surviving Grantor</w:t>
      </w:r>
      <w:r>
        <w:rPr>
          <w:rtl w:val="0"/>
          <w:lang w:val="en-US"/>
        </w:rPr>
        <w:t>’</w:t>
      </w:r>
      <w:r>
        <w:rPr>
          <w:rtl w:val="0"/>
          <w:lang w:val="en-US"/>
        </w:rPr>
        <w:t>s benefit.</w:t>
      </w:r>
    </w:p>
    <w:p>
      <w:pPr>
        <w:pStyle w:val="Block Text"/>
      </w:pPr>
      <w:r>
        <w:rPr>
          <w:rtl w:val="0"/>
          <w:lang w:val="en-US"/>
        </w:rPr>
        <w:t>The deceased Grantor</w:t>
      </w:r>
      <w:r>
        <w:rPr>
          <w:rtl w:val="0"/>
          <w:lang w:val="en-US"/>
        </w:rPr>
        <w:t>’</w:t>
      </w:r>
      <w:r>
        <w:rPr>
          <w:rtl w:val="0"/>
          <w:lang w:val="en-US"/>
        </w:rPr>
        <w:t>s separate property and allocated share of community property shall constitute the Deceased Grantor</w:t>
      </w:r>
      <w:r>
        <w:rPr>
          <w:rtl w:val="0"/>
          <w:lang w:val="en-US"/>
        </w:rPr>
        <w:t>’</w:t>
      </w:r>
      <w:r>
        <w:rPr>
          <w:rtl w:val="0"/>
          <w:lang w:val="en-US"/>
        </w:rPr>
        <w:t>s Trust Property, which shall be administered as provided below.</w:t>
      </w:r>
    </w:p>
    <w:p>
      <w:pPr>
        <w:pStyle w:val="Block Text"/>
      </w:pPr>
      <w:r>
        <w:rPr>
          <w:rtl w:val="0"/>
          <w:lang w:val="en-US"/>
        </w:rPr>
        <w:t>The Trustee may divide community property on a pro-rata or non-pro-rata basis, in cash or in kind, and based on aggregate value rather than asset-by-asset allocation.</w:t>
      </w:r>
    </w:p>
    <w:p>
      <w:pPr>
        <w:pStyle w:val="Body"/>
        <w:numPr>
          <w:ilvl w:val="0"/>
          <w:numId w:val="46"/>
        </w:numPr>
        <w:rPr>
          <w:lang w:val="en-US"/>
        </w:rPr>
      </w:pPr>
      <w:r>
        <w:rPr>
          <w:rFonts w:ascii="Cambria Bold" w:hAnsi="Cambria Bold"/>
          <w:u w:val="single"/>
          <w:rtl w:val="0"/>
          <w:lang w:val="en-US"/>
        </w:rPr>
        <w:t>Administrative Trust Period</w:t>
      </w:r>
      <w:r>
        <w:rPr>
          <w:rFonts w:ascii="Cambria Bold" w:hAnsi="Cambria Bold"/>
          <w:rtl w:val="0"/>
        </w:rPr>
        <w:t>:</w:t>
      </w:r>
      <w:r>
        <w:rPr>
          <w:rtl w:val="0"/>
          <w:lang w:val="en-US"/>
        </w:rPr>
        <w:t xml:space="preserve"> The Deceased Grantor</w:t>
      </w:r>
      <w:r>
        <w:rPr>
          <w:rtl w:val="1"/>
        </w:rPr>
        <w:t>’</w:t>
      </w:r>
      <w:r>
        <w:rPr>
          <w:rtl w:val="0"/>
          <w:lang w:val="en-US"/>
        </w:rPr>
        <w:t>s Trust Property shall be held as an administrative trust for the period reasonably necessary to:</w:t>
      </w:r>
    </w:p>
    <w:p>
      <w:pPr>
        <w:pStyle w:val="Body"/>
        <w:numPr>
          <w:ilvl w:val="1"/>
          <w:numId w:val="48"/>
        </w:numPr>
        <w:rPr>
          <w:lang w:val="en-US"/>
        </w:rPr>
      </w:pPr>
      <w:r>
        <w:rPr>
          <w:rtl w:val="0"/>
          <w:lang w:val="en-US"/>
        </w:rPr>
        <w:t>Identify heirs and beneficiaries;</w:t>
      </w:r>
    </w:p>
    <w:p>
      <w:pPr>
        <w:pStyle w:val="Body"/>
        <w:numPr>
          <w:ilvl w:val="1"/>
          <w:numId w:val="48"/>
        </w:numPr>
        <w:rPr>
          <w:lang w:val="en-US"/>
        </w:rPr>
      </w:pPr>
      <w:r>
        <w:rPr>
          <w:rtl w:val="0"/>
          <w:lang w:val="en-US"/>
        </w:rPr>
        <w:t>Pay lawful debts and expenses;</w:t>
      </w:r>
    </w:p>
    <w:p>
      <w:pPr>
        <w:pStyle w:val="Body"/>
        <w:numPr>
          <w:ilvl w:val="1"/>
          <w:numId w:val="48"/>
        </w:numPr>
        <w:rPr>
          <w:lang w:val="en-US"/>
        </w:rPr>
      </w:pPr>
      <w:r>
        <w:rPr>
          <w:rtl w:val="0"/>
          <w:lang w:val="en-US"/>
        </w:rPr>
        <w:t>Satisfy taxes; and</w:t>
      </w:r>
    </w:p>
    <w:p>
      <w:pPr>
        <w:pStyle w:val="Body"/>
        <w:numPr>
          <w:ilvl w:val="1"/>
          <w:numId w:val="48"/>
        </w:numPr>
        <w:rPr>
          <w:lang w:val="en-US"/>
        </w:rPr>
      </w:pPr>
      <w:r>
        <w:rPr>
          <w:rtl w:val="0"/>
          <w:lang w:val="en-US"/>
        </w:rPr>
        <w:t>Complete required accounting.</w:t>
      </w:r>
    </w:p>
    <w:p>
      <w:pPr>
        <w:pStyle w:val="First Paragraph"/>
      </w:pPr>
      <w:r>
        <w:rPr>
          <w:rtl w:val="0"/>
          <w:lang w:val="en-US"/>
        </w:rPr>
        <w:t>The Deceased Grantor</w:t>
      </w:r>
      <w:r>
        <w:rPr>
          <w:rtl w:val="0"/>
          <w:lang w:val="en-US"/>
        </w:rPr>
        <w:t>’</w:t>
      </w:r>
      <w:r>
        <w:rPr>
          <w:rtl w:val="0"/>
          <w:lang w:val="en-US"/>
        </w:rPr>
        <w:t>s Trust Property shall become irrevocable upon death.</w:t>
      </w:r>
    </w:p>
    <w:p>
      <w:pPr>
        <w:pStyle w:val="Body"/>
        <w:numPr>
          <w:ilvl w:val="0"/>
          <w:numId w:val="49"/>
        </w:numPr>
        <w:rPr>
          <w:lang w:val="en-US"/>
        </w:rPr>
      </w:pPr>
      <w:r>
        <w:rPr>
          <w:rFonts w:ascii="Cambria Bold" w:hAnsi="Cambria Bold"/>
          <w:u w:val="single"/>
          <w:rtl w:val="0"/>
          <w:lang w:val="en-US"/>
        </w:rPr>
        <w:t>Payment of Debts and Expenses:</w:t>
      </w:r>
      <w:r>
        <w:rPr>
          <w:rtl w:val="0"/>
          <w:lang w:val="en-US"/>
        </w:rPr>
        <w:t xml:space="preserve"> The Trustee may pay from the Deceased Grantor</w:t>
      </w:r>
      <w:r>
        <w:rPr>
          <w:rtl w:val="1"/>
        </w:rPr>
        <w:t>’</w:t>
      </w:r>
      <w:r>
        <w:rPr>
          <w:rtl w:val="0"/>
          <w:lang w:val="en-US"/>
        </w:rPr>
        <w:t>s Trust Property:</w:t>
      </w:r>
    </w:p>
    <w:p>
      <w:pPr>
        <w:pStyle w:val="Body"/>
        <w:numPr>
          <w:ilvl w:val="1"/>
          <w:numId w:val="50"/>
        </w:numPr>
        <w:rPr>
          <w:lang w:val="en-US"/>
        </w:rPr>
      </w:pPr>
      <w:r>
        <w:rPr>
          <w:rtl w:val="0"/>
          <w:lang w:val="en-US"/>
        </w:rPr>
        <w:t>Expenses of last illness, funeral, and burial;</w:t>
      </w:r>
    </w:p>
    <w:p>
      <w:pPr>
        <w:pStyle w:val="Body"/>
        <w:numPr>
          <w:ilvl w:val="1"/>
          <w:numId w:val="48"/>
        </w:numPr>
        <w:rPr>
          <w:lang w:val="en-US"/>
        </w:rPr>
      </w:pPr>
      <w:r>
        <w:rPr>
          <w:rtl w:val="0"/>
          <w:lang w:val="en-US"/>
        </w:rPr>
        <w:t>Legally enforceable claims;</w:t>
      </w:r>
    </w:p>
    <w:p>
      <w:pPr>
        <w:pStyle w:val="Body"/>
        <w:numPr>
          <w:ilvl w:val="1"/>
          <w:numId w:val="48"/>
        </w:numPr>
        <w:rPr>
          <w:lang w:val="en-US"/>
        </w:rPr>
      </w:pPr>
      <w:r>
        <w:rPr>
          <w:rtl w:val="0"/>
          <w:lang w:val="en-US"/>
        </w:rPr>
        <w:t>Costs of administration;</w:t>
      </w:r>
    </w:p>
    <w:p>
      <w:pPr>
        <w:pStyle w:val="Body"/>
        <w:numPr>
          <w:ilvl w:val="1"/>
          <w:numId w:val="48"/>
        </w:numPr>
        <w:rPr>
          <w:lang w:val="en-US"/>
        </w:rPr>
      </w:pPr>
      <w:r>
        <w:rPr>
          <w:rtl w:val="0"/>
          <w:lang w:val="en-US"/>
        </w:rPr>
        <w:t>Court-ordered family allowances.</w:t>
      </w:r>
    </w:p>
    <w:p>
      <w:pPr>
        <w:pStyle w:val="First Paragraph"/>
      </w:pPr>
      <w:r>
        <w:rPr>
          <w:rtl w:val="0"/>
          <w:lang w:val="en-US"/>
        </w:rPr>
        <w:t>Such payments are discretionary and may be made without court approval.</w:t>
      </w:r>
    </w:p>
    <w:p>
      <w:pPr>
        <w:pStyle w:val="Body Text"/>
      </w:pPr>
      <w:r>
        <w:rPr>
          <w:rtl w:val="0"/>
          <w:lang w:val="en-US"/>
        </w:rPr>
        <w:t>No third party shall have a direct claim against the Trust solely by reason of this authority.</w:t>
      </w:r>
    </w:p>
    <w:p>
      <w:pPr>
        <w:pStyle w:val="Compact"/>
        <w:numPr>
          <w:ilvl w:val="0"/>
          <w:numId w:val="51"/>
        </w:numPr>
        <w:rPr>
          <w:lang w:val="en-US"/>
        </w:rPr>
      </w:pPr>
      <w:r>
        <w:rPr>
          <w:rFonts w:ascii="Cambria Bold" w:hAnsi="Cambria Bold"/>
          <w:u w:val="single"/>
          <w:rtl w:val="0"/>
          <w:lang w:val="en-US"/>
        </w:rPr>
        <w:t>Retirement Accounts</w:t>
      </w:r>
      <w:r>
        <w:rPr>
          <w:rtl w:val="0"/>
          <w:lang w:val="en-US"/>
        </w:rPr>
        <w:t>: Qualified retirement benefits payable to this Trust shall be administered in a manner consistent with applicable federal law governing required minimum distributions.</w:t>
      </w:r>
    </w:p>
    <w:p>
      <w:pPr>
        <w:pStyle w:val="Block Text"/>
      </w:pPr>
      <w:r>
        <w:rPr>
          <w:rtl w:val="0"/>
          <w:lang w:val="en-US"/>
        </w:rPr>
        <w:t>The Trustee shall distribute or hold retirement benefits only for individual beneficiaries where required by law and shall take reasonable steps to preserve favorable tax treatment.</w:t>
      </w:r>
    </w:p>
    <w:p>
      <w:pPr>
        <w:pStyle w:val="Block Text"/>
      </w:pPr>
      <w:r>
        <w:rPr>
          <w:rtl w:val="0"/>
          <w:lang w:val="en-US"/>
        </w:rPr>
        <w:t>Retirement benefits shall not be used to pay debts or administrative expenses after the legally applicable designation date, except as permitted by law.</w:t>
      </w:r>
    </w:p>
    <w:p>
      <w:pPr>
        <w:pStyle w:val="Body"/>
        <w:numPr>
          <w:ilvl w:val="0"/>
          <w:numId w:val="52"/>
        </w:numPr>
        <w:rPr>
          <w:lang w:val="en-US"/>
        </w:rPr>
      </w:pPr>
      <w:r>
        <w:rPr>
          <w:rFonts w:ascii="Cambria Bold" w:hAnsi="Cambria Bold"/>
          <w:u w:val="single"/>
          <w:rtl w:val="0"/>
          <w:lang w:val="en-US"/>
        </w:rPr>
        <w:t>Payment of Death Taxes:</w:t>
      </w:r>
      <w:r>
        <w:rPr>
          <w:rtl w:val="0"/>
          <w:lang w:val="en-US"/>
        </w:rPr>
        <w:t xml:space="preserve"> The Trustee shall pay death taxes attributable to the Deceased Grantor</w:t>
      </w:r>
      <w:r>
        <w:rPr>
          <w:rtl w:val="1"/>
        </w:rPr>
        <w:t>’</w:t>
      </w:r>
      <w:r>
        <w:rPr>
          <w:rtl w:val="0"/>
          <w:lang w:val="en-US"/>
        </w:rPr>
        <w:t>s estate from the Deceased Grantor</w:t>
      </w:r>
      <w:r>
        <w:rPr>
          <w:rtl w:val="1"/>
        </w:rPr>
        <w:t>’</w:t>
      </w:r>
      <w:r>
        <w:rPr>
          <w:rtl w:val="0"/>
          <w:lang w:val="en-US"/>
        </w:rPr>
        <w:t>s Trust Property without apportionment, unless otherwise required by law. The Trustee shall not seek contribution from beneficiaries for such payment.</w:t>
      </w:r>
    </w:p>
    <w:p>
      <w:pPr>
        <w:pStyle w:val="Body"/>
        <w:numPr>
          <w:ilvl w:val="0"/>
          <w:numId w:val="13"/>
        </w:numPr>
        <w:rPr>
          <w:lang w:val="en-US"/>
        </w:rPr>
      </w:pPr>
      <w:r>
        <w:rPr>
          <w:rFonts w:ascii="Cambria Bold" w:hAnsi="Cambria Bold"/>
          <w:u w:val="single"/>
          <w:rtl w:val="0"/>
          <w:lang w:val="en-US"/>
        </w:rPr>
        <w:t>Authority to Make Tax Elections:</w:t>
      </w:r>
      <w:r>
        <w:rPr>
          <w:rtl w:val="0"/>
          <w:lang w:val="en-US"/>
        </w:rPr>
        <w:t xml:space="preserve"> The Trustee may make any elections reasonably necessary for efficient tax administration of the Deceased Grantor</w:t>
      </w:r>
      <w:r>
        <w:rPr>
          <w:rtl w:val="1"/>
        </w:rPr>
        <w:t>’</w:t>
      </w:r>
      <w:r>
        <w:rPr>
          <w:rtl w:val="0"/>
          <w:lang w:val="en-US"/>
        </w:rPr>
        <w:t>s estate, including:</w:t>
      </w:r>
    </w:p>
    <w:p>
      <w:pPr>
        <w:pStyle w:val="Body"/>
        <w:numPr>
          <w:ilvl w:val="1"/>
          <w:numId w:val="53"/>
        </w:numPr>
        <w:rPr>
          <w:lang w:val="en-US"/>
        </w:rPr>
      </w:pPr>
      <w:r>
        <w:rPr>
          <w:rtl w:val="0"/>
          <w:lang w:val="en-US"/>
        </w:rPr>
        <w:t>Electing alternate valuation dates;</w:t>
      </w:r>
    </w:p>
    <w:p>
      <w:pPr>
        <w:pStyle w:val="Body"/>
        <w:numPr>
          <w:ilvl w:val="1"/>
          <w:numId w:val="48"/>
        </w:numPr>
        <w:rPr>
          <w:lang w:val="en-US"/>
        </w:rPr>
      </w:pPr>
      <w:r>
        <w:rPr>
          <w:rtl w:val="0"/>
          <w:lang w:val="en-US"/>
        </w:rPr>
        <w:t>Determining whether expenses are deducted for estate or income tax purposes;</w:t>
      </w:r>
    </w:p>
    <w:p>
      <w:pPr>
        <w:pStyle w:val="Body"/>
        <w:numPr>
          <w:ilvl w:val="1"/>
          <w:numId w:val="48"/>
        </w:numPr>
        <w:rPr>
          <w:lang w:val="en-US"/>
        </w:rPr>
      </w:pPr>
      <w:r>
        <w:rPr>
          <w:rtl w:val="0"/>
          <w:lang w:val="en-US"/>
        </w:rPr>
        <w:t>Electing portability of unused exclusion amounts, if advisable.</w:t>
      </w:r>
    </w:p>
    <w:p>
      <w:pPr>
        <w:pStyle w:val="Block Text"/>
      </w:pPr>
      <w:r>
        <w:rPr>
          <w:rtl w:val="0"/>
          <w:lang w:val="en-US"/>
        </w:rPr>
        <w:t>The Trustee shall not be liable for good-faith decisions regarding tax elections.</w:t>
      </w:r>
    </w:p>
    <w:p>
      <w:pPr>
        <w:pStyle w:val="Body"/>
        <w:numPr>
          <w:ilvl w:val="0"/>
          <w:numId w:val="56"/>
        </w:numPr>
        <w:rPr>
          <w:lang w:val="en-US"/>
        </w:rPr>
      </w:pPr>
      <w:r>
        <w:rPr>
          <w:rFonts w:ascii="Cambria Bold" w:hAnsi="Cambria Bold"/>
          <w:u w:val="single"/>
          <w:rtl w:val="0"/>
          <w:lang w:val="en-US"/>
        </w:rPr>
        <w:t>Portability Election</w:t>
      </w:r>
      <w:r>
        <w:rPr>
          <w:rFonts w:ascii="Cambria Bold" w:hAnsi="Cambria Bold"/>
          <w:rtl w:val="0"/>
        </w:rPr>
        <w:t>:</w:t>
      </w:r>
      <w:r>
        <w:rPr>
          <w:rtl w:val="0"/>
          <w:lang w:val="en-US"/>
        </w:rPr>
        <w:t xml:space="preserve"> The Trustee may elect portability of any deceased Grantor</w:t>
      </w:r>
      <w:r>
        <w:rPr>
          <w:rtl w:val="1"/>
        </w:rPr>
        <w:t>’</w:t>
      </w:r>
      <w:r>
        <w:rPr>
          <w:rtl w:val="0"/>
          <w:lang w:val="en-US"/>
        </w:rPr>
        <w:t>s unused federal estate tax exclusion amount, if applicable, by timely filing any required federal estate tax return and making such election, provided the Trustee determines in good faith that doing so is advisable for tax planning purposes. The Trustee shall not be liable for failing to make a portability election if, in the Trustee</w:t>
      </w:r>
      <w:r>
        <w:rPr>
          <w:rtl w:val="1"/>
        </w:rPr>
        <w:t>’</w:t>
      </w:r>
      <w:r>
        <w:rPr>
          <w:rtl w:val="0"/>
          <w:lang w:val="en-US"/>
        </w:rPr>
        <w:t>s reasonable judgment, no material tax benefit would result.</w:t>
      </w:r>
    </w:p>
    <w:p>
      <w:pPr>
        <w:pStyle w:val="Body"/>
        <w:numPr>
          <w:ilvl w:val="0"/>
          <w:numId w:val="55"/>
        </w:numPr>
        <w:rPr>
          <w:lang w:val="en-US"/>
        </w:rPr>
      </w:pPr>
      <w:r>
        <w:rPr>
          <w:rFonts w:ascii="Cambria Bold" w:hAnsi="Cambria Bold"/>
          <w:u w:val="single"/>
          <w:rtl w:val="0"/>
          <w:lang w:val="en-US"/>
        </w:rPr>
        <w:t>Charitable Distributions:</w:t>
      </w:r>
      <w:r>
        <w:rPr>
          <w:rtl w:val="0"/>
          <w:lang w:val="en-US"/>
        </w:rPr>
        <w:t xml:space="preserve"> To the extent practicable, charitable bequests shall be funded using income in respect of a decedent (IRD) assets where doing so provides favorable income tax treatment.</w:t>
      </w:r>
      <w:bookmarkEnd w:id="16"/>
    </w:p>
    <w:p>
      <w:pPr>
        <w:pStyle w:val="Heading"/>
      </w:pPr>
      <w:bookmarkStart w:name="articleten" w:id="17"/>
      <w:r>
        <w:rPr>
          <w:rFonts w:cs="Arial Unicode MS" w:eastAsia="Arial Unicode MS"/>
          <w:rtl w:val="0"/>
          <w:lang w:val="de-DE"/>
        </w:rPr>
        <w:t>ARTICLE TEN</w:t>
      </w:r>
      <w:bookmarkEnd w:id="17"/>
    </w:p>
    <w:p>
      <w:pPr>
        <w:pStyle w:val="Heading 2"/>
      </w:pPr>
      <w:bookmarkStart w:name="X7c51d171f4e1abf949bde0fc9835fdb808e1c26" w:id="18"/>
      <w:r>
        <w:rPr>
          <w:rFonts w:cs="Arial Unicode MS" w:eastAsia="Arial Unicode MS"/>
          <w:rtl w:val="0"/>
        </w:rPr>
        <w:t>Specific Bequests (Wasiyah) of Each Grantor</w:t>
      </w:r>
    </w:p>
    <w:p>
      <w:pPr>
        <w:pStyle w:val="Reader Note"/>
      </w:pPr>
      <w:r>
        <w:rPr>
          <w:rFonts w:ascii="Cambria Bold" w:hAnsi="Cambria Bold"/>
          <w:i w:val="1"/>
          <w:iCs w:val="1"/>
          <w:rtl w:val="0"/>
          <w:lang w:val="en-US"/>
        </w:rPr>
        <w:t>In plain language.</w:t>
      </w:r>
      <w:r>
        <w:rPr>
          <w:rtl w:val="0"/>
          <w:lang w:val="en-US"/>
        </w:rPr>
        <w:t xml:space="preserve"> This Article holds each spouse</w:t>
      </w:r>
      <w:r>
        <w:rPr>
          <w:rtl w:val="0"/>
          <w:lang w:val="en-US"/>
        </w:rPr>
        <w:t>’</w:t>
      </w:r>
      <w:r>
        <w:rPr>
          <w:rtl w:val="0"/>
          <w:lang w:val="en-US"/>
        </w:rPr>
        <w:t>s individual bequests, such as a gift to a masjid, a school, or a person who is not an Islamic heir. Each spouse</w:t>
      </w:r>
      <w:r>
        <w:rPr>
          <w:rtl w:val="0"/>
          <w:lang w:val="en-US"/>
        </w:rPr>
        <w:t>’</w:t>
      </w:r>
      <w:r>
        <w:rPr>
          <w:rtl w:val="0"/>
          <w:lang w:val="en-US"/>
        </w:rPr>
        <w:t>s bequests come only out of that spouse</w:t>
      </w:r>
      <w:r>
        <w:rPr>
          <w:rtl w:val="0"/>
          <w:lang w:val="en-US"/>
        </w:rPr>
        <w:t>’</w:t>
      </w:r>
      <w:r>
        <w:rPr>
          <w:rtl w:val="0"/>
          <w:lang w:val="en-US"/>
        </w:rPr>
        <w:t>s own share and never touch the survivor</w:t>
      </w:r>
      <w:r>
        <w:rPr>
          <w:rtl w:val="0"/>
          <w:lang w:val="en-US"/>
        </w:rPr>
        <w:t>’</w:t>
      </w:r>
      <w:r>
        <w:rPr>
          <w:rtl w:val="0"/>
          <w:lang w:val="en-US"/>
        </w:rPr>
        <w:t>s property.</w:t>
      </w:r>
    </w:p>
    <w:p>
      <w:pPr>
        <w:pStyle w:val="Body"/>
        <w:numPr>
          <w:ilvl w:val="0"/>
          <w:numId w:val="57"/>
        </w:numPr>
        <w:rPr>
          <w:lang w:val="en-US"/>
        </w:rPr>
      </w:pPr>
      <w:r>
        <w:rPr>
          <w:rFonts w:ascii="Cambria Bold" w:hAnsi="Cambria Bold"/>
          <w:u w:val="single"/>
          <w:rtl w:val="0"/>
          <w:lang w:val="en-US"/>
        </w:rPr>
        <w:t>Individual Nature of Bequests:</w:t>
      </w:r>
      <w:r>
        <w:rPr>
          <w:rtl w:val="0"/>
          <w:lang w:val="en-US"/>
        </w:rPr>
        <w:t xml:space="preserve"> Each Grantor may designate specific charitable or other permissible bequests to take effect upon that Grantor</w:t>
      </w:r>
      <w:r>
        <w:rPr>
          <w:rtl w:val="1"/>
        </w:rPr>
        <w:t>’</w:t>
      </w:r>
      <w:r>
        <w:rPr>
          <w:rtl w:val="0"/>
          <w:lang w:val="en-US"/>
        </w:rPr>
        <w:t>s death. All bequests made by a Grantor under this Article shall be satisfied solely from that Grantor</w:t>
      </w:r>
      <w:r>
        <w:rPr>
          <w:rtl w:val="1"/>
        </w:rPr>
        <w:t>’</w:t>
      </w:r>
      <w:r>
        <w:rPr>
          <w:rtl w:val="0"/>
          <w:lang w:val="en-US"/>
        </w:rPr>
        <w:t>s Deceased Grantor</w:t>
      </w:r>
      <w:r>
        <w:rPr>
          <w:rtl w:val="1"/>
        </w:rPr>
        <w:t>’</w:t>
      </w:r>
      <w:r>
        <w:rPr>
          <w:rtl w:val="0"/>
          <w:lang w:val="en-US"/>
        </w:rPr>
        <w:t>s Trust Property and shall not affect the Survivor</w:t>
      </w:r>
      <w:r>
        <w:rPr>
          <w:rtl w:val="1"/>
        </w:rPr>
        <w:t>’</w:t>
      </w:r>
      <w:r>
        <w:rPr>
          <w:rtl w:val="0"/>
          <w:lang w:val="en-US"/>
        </w:rPr>
        <w:t>s Trust or the other Grantor</w:t>
      </w:r>
      <w:r>
        <w:rPr>
          <w:rtl w:val="1"/>
        </w:rPr>
        <w:t>’</w:t>
      </w:r>
      <w:r>
        <w:rPr>
          <w:rtl w:val="0"/>
          <w:lang w:val="en-US"/>
        </w:rPr>
        <w:t>s property.</w:t>
      </w:r>
    </w:p>
    <w:p>
      <w:pPr>
        <w:pStyle w:val="Body"/>
        <w:numPr>
          <w:ilvl w:val="0"/>
          <w:numId w:val="2"/>
        </w:numPr>
        <w:rPr>
          <w:lang w:val="en-US"/>
        </w:rPr>
      </w:pPr>
      <w:r>
        <w:rPr>
          <w:rFonts w:ascii="Cambria Bold" w:hAnsi="Cambria Bold"/>
          <w:u w:val="single"/>
          <w:rtl w:val="0"/>
          <w:lang w:val="en-US"/>
        </w:rPr>
        <w:t>Bequests of {husbandFullName}</w:t>
      </w:r>
      <w:r>
        <w:rPr>
          <w:shd w:val="clear" w:color="auto" w:fill="ffff00"/>
          <w:rtl w:val="0"/>
        </w:rPr>
        <w:t>:</w:t>
      </w:r>
      <w:r>
        <w:rPr>
          <w:rtl w:val="0"/>
          <w:lang w:val="en-US"/>
        </w:rPr>
        <w:t xml:space="preserve"> Upon the death of {husbandFullName}, the Trustee shall distribute the following bequests from {husbandFullName}</w:t>
      </w:r>
      <w:r>
        <w:rPr>
          <w:rtl w:val="1"/>
        </w:rPr>
        <w:t>’</w:t>
      </w:r>
      <w:r>
        <w:rPr>
          <w:rtl w:val="0"/>
          <w:lang w:val="it-IT"/>
        </w:rPr>
        <w:t>s net distributable estate.</w:t>
      </w: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{#hasHusbandCharitable}</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3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Charity</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t>
            </w:r>
          </w:p>
        </w:tc>
      </w:tr>
      <w:tr>
        <w:tblPrEx>
          <w:shd w:val="clear" w:color="auto" w:fill="ced7e7"/>
        </w:tblPrEx>
        <w:trPr>
          <w:trHeight w:val="27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{#husbandCharitable}{charityName}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{percentage}%{/husbandCharitable}</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{/hasHusbandCharitable}</w:t>
      </w:r>
    </w:p>
    <w:p>
      <w:pPr>
        <w:pStyle w:val="Block Text"/>
      </w:pPr>
      <w:r>
        <w:rPr>
          <w:rtl w:val="0"/>
          <w:lang w:val="en-US"/>
        </w:rPr>
        <w:t>If the Husband Grantor has designated any permissible non-charitable bequests (including gifts to grandchildren or other individuals who are not Islamic heirs at the time of his death), such bequests shall be distributed as follows:</w:t>
      </w: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{#hasHusbandNonCharitable}</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3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it-IT"/>
                <w14:textOutline w14:w="12700" w14:cap="flat">
                  <w14:noFill/>
                  <w14:miter w14:lim="400000"/>
                </w14:textOutline>
                <w14:textFill>
                  <w14:solidFill>
                    <w14:srgbClr w14:val="000000"/>
                  </w14:solidFill>
                </w14:textFill>
              </w:rPr>
              <w:t>Recipient</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t>
            </w:r>
          </w:p>
        </w:tc>
      </w:tr>
      <w:tr>
        <w:tblPrEx>
          <w:shd w:val="clear" w:color="auto" w:fill="ced7e7"/>
        </w:tblPrEx>
        <w:trPr>
          <w:trHeight w:val="49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{#husbandNonCharitable}{recipientName}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{percentage}%{/husbandNonCharitable}</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{/hasHusbandNonCharitable}</w:t>
      </w:r>
    </w:p>
    <w:p>
      <w:pPr>
        <w:pStyle w:val="Compact"/>
        <w:numPr>
          <w:ilvl w:val="0"/>
          <w:numId w:val="58"/>
        </w:numPr>
        <w:rPr>
          <w:lang w:val="en-US"/>
        </w:rPr>
      </w:pPr>
      <w:r>
        <w:rPr>
          <w:rFonts w:ascii="Cambria Bold" w:hAnsi="Cambria Bold"/>
          <w:u w:val="single"/>
          <w:rtl w:val="0"/>
          <w:lang w:val="en-US"/>
        </w:rPr>
        <w:t>Bequests of {wifeFullName}</w:t>
      </w:r>
      <w:r>
        <w:rPr>
          <w:rFonts w:ascii="Cambria Bold" w:hAnsi="Cambria Bold"/>
          <w:rtl w:val="0"/>
          <w:lang w:val="en-US"/>
        </w:rPr>
        <w:t>:</w:t>
      </w:r>
      <w:r>
        <w:rPr>
          <w:rtl w:val="0"/>
          <w:lang w:val="en-US"/>
        </w:rPr>
        <w:t xml:space="preserve"> Upon the death of {wifeFullName}, the Trustee shall distribute the following bequests from {wifeFullName}</w:t>
      </w:r>
      <w:r>
        <w:rPr>
          <w:rtl w:val="0"/>
          <w:lang w:val="en-US"/>
        </w:rPr>
        <w:t>’</w:t>
      </w:r>
      <w:r>
        <w:rPr>
          <w:rtl w:val="0"/>
          <w:lang w:val="en-US"/>
        </w:rPr>
        <w:t>s net distributable estate.</w:t>
      </w: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{#hasWifeCharitable}</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09"/>
        <w:gridCol w:w="5509"/>
      </w:tblGrid>
      <w:tr>
        <w:tblPrEx>
          <w:shd w:val="clear" w:color="auto" w:fill="ced7e7"/>
        </w:tblPrEx>
        <w:trPr>
          <w:trHeight w:val="330"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Charity</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t>
            </w:r>
          </w:p>
        </w:tc>
      </w:tr>
      <w:tr>
        <w:tblPrEx>
          <w:shd w:val="clear" w:color="auto" w:fill="ced7e7"/>
        </w:tblPrEx>
        <w:trPr>
          <w:trHeight w:val="271" w:hRule="atLeast"/>
        </w:trPr>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{#wifeCharitable}{charityName}</w:t>
            </w:r>
          </w:p>
        </w:tc>
        <w:tc>
          <w:tcPr>
            <w:tcW w:type="dxa" w:w="550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{percentage}%{/wifeCharitable}</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{/hasWifeCharitable}</w:t>
      </w:r>
    </w:p>
    <w:p>
      <w:pPr>
        <w:pStyle w:val="Block Text"/>
      </w:pPr>
      <w:r>
        <w:rPr>
          <w:rtl w:val="0"/>
          <w:lang w:val="en-US"/>
        </w:rPr>
        <w:t>If the Wife Grantor has designated any permissible non-charitable bequests (including gifts to grandchildren or other individuals who are not Islamic heirs at the time of her death), such bequests shall be distributed as follows:</w:t>
      </w: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fr-FR"/>
          <w14:textOutline w14:w="12700" w14:cap="flat">
            <w14:noFill/>
            <w14:miter w14:lim="400000"/>
          </w14:textOutline>
          <w14:textFill>
            <w14:solidFill>
              <w14:srgbClr w14:val="000000"/>
            </w14:solidFill>
          </w14:textFill>
        </w:rPr>
        <w:t>{#hasWifeNonCharitable}</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3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it-IT"/>
                <w14:textOutline w14:w="12700" w14:cap="flat">
                  <w14:noFill/>
                  <w14:miter w14:lim="400000"/>
                </w14:textOutline>
                <w14:textFill>
                  <w14:solidFill>
                    <w14:srgbClr w14:val="000000"/>
                  </w14:solidFill>
                </w14:textFill>
              </w:rPr>
              <w:t>Recipient</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t>
            </w:r>
          </w:p>
        </w:tc>
      </w:tr>
      <w:tr>
        <w:tblPrEx>
          <w:shd w:val="clear" w:color="auto" w:fill="ced7e7"/>
        </w:tblPrEx>
        <w:trPr>
          <w:trHeight w:val="49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{#wifeNonCharitable}{recipientName}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{percentage}%{/wifeNonCharitable}</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fr-FR"/>
          <w14:textOutline w14:w="12700" w14:cap="flat">
            <w14:noFill/>
            <w14:miter w14:lim="400000"/>
          </w14:textOutline>
          <w14:textFill>
            <w14:solidFill>
              <w14:srgbClr w14:val="000000"/>
            </w14:solidFill>
          </w14:textFill>
        </w:rPr>
        <w:t>{/hasWifeNonCharitable}</w:t>
      </w:r>
    </w:p>
    <w:p>
      <w:pPr>
        <w:pStyle w:val="Compact"/>
        <w:numPr>
          <w:ilvl w:val="0"/>
          <w:numId w:val="59"/>
        </w:numPr>
        <w:rPr>
          <w:lang w:val="en-US"/>
        </w:rPr>
      </w:pPr>
      <w:r>
        <w:rPr>
          <w:rFonts w:ascii="Cambria Bold" w:hAnsi="Cambria Bold"/>
          <w:u w:val="single"/>
          <w:rtl w:val="0"/>
          <w:lang w:val="en-US"/>
        </w:rPr>
        <w:t>One-Third Limitation:</w:t>
      </w:r>
      <w:r>
        <w:rPr>
          <w:rtl w:val="0"/>
          <w:lang w:val="en-US"/>
        </w:rPr>
        <w:t xml:space="preserve"> The total of all bequests made by a Grantor under this Article shall not exceed one-third (1/3) of that Grantor</w:t>
      </w:r>
      <w:r>
        <w:rPr>
          <w:rtl w:val="0"/>
          <w:lang w:val="en-US"/>
        </w:rPr>
        <w:t>’</w:t>
      </w:r>
      <w:r>
        <w:rPr>
          <w:rtl w:val="0"/>
          <w:lang w:val="en-US"/>
        </w:rPr>
        <w:t>s net distributable estate after payment of debts, funeral expenses, and administrative costs, unless all Islamic heirs of that Grantor consent in writing after death.</w:t>
      </w:r>
    </w:p>
    <w:p>
      <w:pPr>
        <w:pStyle w:val="Block Text"/>
      </w:pPr>
      <w:r>
        <w:rPr>
          <w:rtl w:val="0"/>
          <w:lang w:val="en-US"/>
        </w:rPr>
        <w:t>If the total designated bequests exceed one-third (1/3), the Trustee shall proportionally reduce such bequests to comply with this limitation.</w:t>
      </w:r>
    </w:p>
    <w:p>
      <w:pPr>
        <w:pStyle w:val="Block Text"/>
      </w:pPr>
      <w:r>
        <w:rPr>
          <w:rtl w:val="0"/>
          <w:lang w:val="en-US"/>
        </w:rPr>
        <w:t>No bequest shall be distributed to a person who qualifies as an Islamic heir of the Grantor at the time of death unless all other Islamic heirs provide written consent after death.</w:t>
      </w:r>
    </w:p>
    <w:p>
      <w:pPr>
        <w:pStyle w:val="Compact"/>
        <w:numPr>
          <w:ilvl w:val="0"/>
          <w:numId w:val="60"/>
        </w:numPr>
        <w:rPr>
          <w:lang w:val="en-US"/>
        </w:rPr>
      </w:pPr>
      <w:r>
        <w:rPr>
          <w:rFonts w:ascii="Cambria Bold" w:hAnsi="Cambria Bold"/>
          <w:u w:val="single"/>
          <w:rtl w:val="0"/>
          <w:lang w:val="en-US"/>
        </w:rPr>
        <w:t>Lapse or Failure of Bequest:</w:t>
      </w:r>
      <w:r>
        <w:rPr>
          <w:rtl w:val="0"/>
          <w:lang w:val="en-US"/>
        </w:rPr>
        <w:t xml:space="preserve"> If any designated charity or beneficiary does not exist, declines the bequest, or is legally incapable of receiving it, that portion shall be added to the residuary estate of that Grantor and distributed in accordance with the following Article.</w:t>
      </w:r>
      <w:bookmarkEnd w:id="18"/>
    </w:p>
    <w:p>
      <w:pPr>
        <w:pStyle w:val="Heading"/>
      </w:pPr>
      <w:bookmarkStart w:name="articleeleven" w:id="19"/>
      <w:r>
        <w:rPr>
          <w:rFonts w:cs="Arial Unicode MS" w:eastAsia="Arial Unicode MS"/>
          <w:rtl w:val="0"/>
          <w:lang w:val="de-DE"/>
        </w:rPr>
        <w:t>ARTICLE ELEVEN</w:t>
      </w:r>
      <w:bookmarkEnd w:id="19"/>
    </w:p>
    <w:p>
      <w:pPr>
        <w:pStyle w:val="Heading 2"/>
      </w:pPr>
      <w:bookmarkStart w:name="thesurvivorstrust" w:id="20"/>
      <w:r>
        <w:rPr>
          <w:rFonts w:cs="Arial Unicode MS" w:eastAsia="Arial Unicode MS"/>
          <w:rtl w:val="0"/>
          <w:lang w:val="en-US"/>
        </w:rPr>
        <w:t>The Survivor</w:t>
      </w:r>
      <w:r>
        <w:rPr>
          <w:rFonts w:cs="Arial Unicode MS" w:eastAsia="Arial Unicode MS" w:hint="default"/>
          <w:rtl w:val="1"/>
        </w:rPr>
        <w:t>’</w:t>
      </w:r>
      <w:r>
        <w:rPr>
          <w:rFonts w:cs="Arial Unicode MS" w:eastAsia="Arial Unicode MS"/>
          <w:rtl w:val="0"/>
          <w:lang w:val="en-US"/>
        </w:rPr>
        <w:t>s Trust</w:t>
      </w:r>
    </w:p>
    <w:p>
      <w:pPr>
        <w:pStyle w:val="Reader Note"/>
      </w:pPr>
      <w:r>
        <w:rPr>
          <w:rFonts w:ascii="Cambria Bold" w:hAnsi="Cambria Bold"/>
          <w:i w:val="1"/>
          <w:iCs w:val="1"/>
          <w:rtl w:val="0"/>
          <w:lang w:val="en-US"/>
        </w:rPr>
        <w:t>In plain language.</w:t>
      </w:r>
      <w:r>
        <w:rPr>
          <w:rtl w:val="0"/>
          <w:lang w:val="en-US"/>
        </w:rPr>
        <w:t xml:space="preserve"> This Article covers the survivor</w:t>
      </w:r>
      <w:r>
        <w:rPr>
          <w:rtl w:val="0"/>
          <w:lang w:val="en-US"/>
        </w:rPr>
        <w:t>’</w:t>
      </w:r>
      <w:r>
        <w:rPr>
          <w:rtl w:val="0"/>
          <w:lang w:val="en-US"/>
        </w:rPr>
        <w:t>s own half after the first death. It remains fully theirs to amend, revoke, or spend, and it is not governed by the deceased spouse</w:t>
      </w:r>
      <w:r>
        <w:rPr>
          <w:rtl w:val="0"/>
          <w:lang w:val="en-US"/>
        </w:rPr>
        <w:t>’</w:t>
      </w:r>
      <w:r>
        <w:rPr>
          <w:rtl w:val="0"/>
          <w:lang w:val="en-US"/>
        </w:rPr>
        <w:t>s plan.</w:t>
      </w:r>
    </w:p>
    <w:p>
      <w:pPr>
        <w:pStyle w:val="Body"/>
        <w:numPr>
          <w:ilvl w:val="0"/>
          <w:numId w:val="61"/>
        </w:numPr>
        <w:rPr>
          <w:lang w:val="en-US"/>
        </w:rPr>
      </w:pPr>
      <w:r>
        <w:rPr>
          <w:rFonts w:ascii="Cambria Bold" w:hAnsi="Cambria Bold"/>
          <w:u w:val="single"/>
          <w:rtl w:val="0"/>
          <w:lang w:val="en-US"/>
        </w:rPr>
        <w:t>Purpose of this Article:</w:t>
      </w:r>
      <w:r>
        <w:rPr>
          <w:rtl w:val="0"/>
          <w:lang w:val="en-US"/>
        </w:rPr>
        <w:t xml:space="preserve"> The Survivor</w:t>
      </w:r>
      <w:r>
        <w:rPr>
          <w:rtl w:val="1"/>
        </w:rPr>
        <w:t>’</w:t>
      </w:r>
      <w:r>
        <w:rPr>
          <w:rtl w:val="0"/>
          <w:lang w:val="en-US"/>
        </w:rPr>
        <w:t>s Trust shall consist solely of the surviving Grantor</w:t>
      </w:r>
      <w:r>
        <w:rPr>
          <w:rtl w:val="1"/>
        </w:rPr>
        <w:t>’</w:t>
      </w:r>
      <w:r>
        <w:rPr>
          <w:rtl w:val="0"/>
          <w:lang w:val="en-US"/>
        </w:rPr>
        <w:t>s separate property and allocated share of community property following the death of the first Grantor. The Survivor</w:t>
      </w:r>
      <w:r>
        <w:rPr>
          <w:rtl w:val="1"/>
        </w:rPr>
        <w:t>’</w:t>
      </w:r>
      <w:r>
        <w:rPr>
          <w:rtl w:val="0"/>
          <w:lang w:val="en-US"/>
        </w:rPr>
        <w:t>s Trust shall be administered exclusively for the benefit of the surviving Grantor during the surviving Grantor</w:t>
      </w:r>
      <w:r>
        <w:rPr>
          <w:rtl w:val="1"/>
        </w:rPr>
        <w:t>’</w:t>
      </w:r>
      <w:r>
        <w:rPr>
          <w:rtl w:val="0"/>
          <w:lang w:val="en-US"/>
        </w:rPr>
        <w:t>s lifetime.</w:t>
      </w:r>
    </w:p>
    <w:p>
      <w:pPr>
        <w:pStyle w:val="Body"/>
        <w:numPr>
          <w:ilvl w:val="0"/>
          <w:numId w:val="2"/>
        </w:numPr>
      </w:pPr>
      <w:r>
        <w:rPr>
          <w:rFonts w:ascii="Cambria Bold" w:hAnsi="Cambria Bold"/>
          <w:u w:val="single"/>
          <w:rtl w:val="0"/>
        </w:rPr>
        <w:t>Trustee:</w:t>
      </w:r>
      <w:r>
        <w:rPr>
          <w:rtl w:val="0"/>
          <w:lang w:val="en-US"/>
        </w:rPr>
        <w:t xml:space="preserve"> The surviving Grantor may serve as sole Trustee of the Survivor</w:t>
      </w:r>
      <w:r>
        <w:rPr>
          <w:rtl w:val="1"/>
        </w:rPr>
        <w:t>’</w:t>
      </w:r>
      <w:r>
        <w:rPr>
          <w:rtl w:val="0"/>
        </w:rPr>
        <w:t>s Trust.</w:t>
      </w:r>
    </w:p>
    <w:p>
      <w:pPr>
        <w:pStyle w:val="Body"/>
        <w:numPr>
          <w:ilvl w:val="0"/>
          <w:numId w:val="2"/>
        </w:numPr>
        <w:rPr>
          <w:lang w:val="en-US"/>
        </w:rPr>
      </w:pPr>
      <w:r>
        <w:rPr>
          <w:rFonts w:ascii="Cambria Bold" w:hAnsi="Cambria Bold"/>
          <w:u w:val="single"/>
          <w:rtl w:val="0"/>
          <w:lang w:val="en-US"/>
        </w:rPr>
        <w:t>Right to Amend and Revoke:</w:t>
      </w:r>
      <w:r>
        <w:rPr>
          <w:rtl w:val="0"/>
          <w:lang w:val="en-US"/>
        </w:rPr>
        <w:t xml:space="preserve"> The surviving Grantor retains the absolute right to amend, restate, or revoke the Survivor</w:t>
      </w:r>
      <w:r>
        <w:rPr>
          <w:rtl w:val="1"/>
        </w:rPr>
        <w:t>’</w:t>
      </w:r>
      <w:r>
        <w:rPr>
          <w:rtl w:val="0"/>
          <w:lang w:val="en-US"/>
        </w:rPr>
        <w:t>s Trust in whole or in part during the surviving Grantor</w:t>
      </w:r>
      <w:r>
        <w:rPr>
          <w:rtl w:val="1"/>
        </w:rPr>
        <w:t>’</w:t>
      </w:r>
      <w:r>
        <w:rPr>
          <w:rtl w:val="0"/>
          <w:lang w:val="en-US"/>
        </w:rPr>
        <w:t>s lifetime.</w:t>
      </w:r>
    </w:p>
    <w:p>
      <w:pPr>
        <w:pStyle w:val="Block Text"/>
      </w:pPr>
      <w:r>
        <w:rPr>
          <w:rtl w:val="0"/>
          <w:lang w:val="en-US"/>
        </w:rPr>
        <w:t>This right applies solely to the Survivor</w:t>
      </w:r>
      <w:r>
        <w:rPr>
          <w:rtl w:val="0"/>
          <w:lang w:val="en-US"/>
        </w:rPr>
        <w:t>’</w:t>
      </w:r>
      <w:r>
        <w:rPr>
          <w:rtl w:val="0"/>
          <w:lang w:val="en-US"/>
        </w:rPr>
        <w:t>s Trust and does not permit modification of any distributions made or required upon the death of the first Grantor.</w:t>
      </w:r>
    </w:p>
    <w:p>
      <w:pPr>
        <w:pStyle w:val="Block Text"/>
      </w:pPr>
      <w:r>
        <w:rPr>
          <w:rtl w:val="0"/>
          <w:lang w:val="en-US"/>
        </w:rPr>
        <w:t>Any amendment or revocation must be in writing and signed by the surviving Grantor.</w:t>
      </w:r>
    </w:p>
    <w:p>
      <w:pPr>
        <w:pStyle w:val="Compact"/>
        <w:numPr>
          <w:ilvl w:val="0"/>
          <w:numId w:val="62"/>
        </w:numPr>
        <w:rPr>
          <w:lang w:val="en-US"/>
        </w:rPr>
      </w:pPr>
      <w:r>
        <w:rPr>
          <w:rFonts w:ascii="Cambria Bold" w:hAnsi="Cambria Bold"/>
          <w:u w:val="single"/>
          <w:rtl w:val="0"/>
          <w:lang w:val="en-US"/>
        </w:rPr>
        <w:t>Administration:</w:t>
      </w:r>
      <w:r>
        <w:rPr>
          <w:rtl w:val="0"/>
          <w:lang w:val="en-US"/>
        </w:rPr>
        <w:t xml:space="preserve"> The Trustee shall distribute all net income of the Survivor</w:t>
      </w:r>
      <w:r>
        <w:rPr>
          <w:rtl w:val="0"/>
          <w:lang w:val="en-US"/>
        </w:rPr>
        <w:t>’</w:t>
      </w:r>
      <w:r>
        <w:rPr>
          <w:rtl w:val="0"/>
          <w:lang w:val="en-US"/>
        </w:rPr>
        <w:t>s Trust to the surviving Grantor at least annually.</w:t>
      </w:r>
    </w:p>
    <w:p>
      <w:pPr>
        <w:pStyle w:val="Block Text"/>
      </w:pPr>
      <w:r>
        <w:rPr>
          <w:rtl w:val="0"/>
          <w:lang w:val="en-US"/>
        </w:rPr>
        <w:t>The Trustee may distribute as much of the principal of the Survivor</w:t>
      </w:r>
      <w:r>
        <w:rPr>
          <w:rtl w:val="0"/>
          <w:lang w:val="en-US"/>
        </w:rPr>
        <w:t>’</w:t>
      </w:r>
      <w:r>
        <w:rPr>
          <w:rtl w:val="0"/>
          <w:lang w:val="en-US"/>
        </w:rPr>
        <w:t>s Trust to the surviving Grantor as the Trustee determines advisable for any purpose.</w:t>
      </w:r>
    </w:p>
    <w:p>
      <w:pPr>
        <w:pStyle w:val="Body"/>
        <w:numPr>
          <w:ilvl w:val="0"/>
          <w:numId w:val="63"/>
        </w:numPr>
        <w:rPr>
          <w:lang w:val="en-US"/>
        </w:rPr>
      </w:pPr>
      <w:r>
        <w:rPr>
          <w:rFonts w:ascii="Cambria Bold" w:hAnsi="Cambria Bold"/>
          <w:u w:val="single"/>
          <w:rtl w:val="0"/>
          <w:lang w:val="en-US"/>
        </w:rPr>
        <w:t>Incapacity of the Surviving Grantor:</w:t>
      </w:r>
      <w:r>
        <w:rPr>
          <w:rtl w:val="0"/>
          <w:lang w:val="en-US"/>
        </w:rPr>
        <w:t xml:space="preserve"> During any period in which the surviving Grantor is incapacitated, the Survivor</w:t>
      </w:r>
      <w:r>
        <w:rPr>
          <w:rtl w:val="1"/>
        </w:rPr>
        <w:t>’</w:t>
      </w:r>
      <w:r>
        <w:rPr>
          <w:rtl w:val="0"/>
          <w:lang w:val="en-US"/>
        </w:rPr>
        <w:t>s Trust shall be administered in accordance with Article Eight of this Trust Agreement.</w:t>
      </w:r>
    </w:p>
    <w:p>
      <w:pPr>
        <w:pStyle w:val="Body"/>
        <w:numPr>
          <w:ilvl w:val="0"/>
          <w:numId w:val="13"/>
        </w:numPr>
        <w:rPr>
          <w:lang w:val="en-US"/>
        </w:rPr>
      </w:pPr>
      <w:r>
        <w:rPr>
          <w:rFonts w:ascii="Cambria Bold" w:hAnsi="Cambria Bold"/>
          <w:u w:val="single"/>
          <w:rtl w:val="0"/>
          <w:lang w:val="en-US"/>
        </w:rPr>
        <w:t>Distribution Upon Death of the Surviving Grantor</w:t>
      </w:r>
      <w:r>
        <w:rPr>
          <w:u w:val="single"/>
          <w:rtl w:val="0"/>
        </w:rPr>
        <w:t>:</w:t>
      </w:r>
      <w:r>
        <w:rPr>
          <w:rtl w:val="0"/>
          <w:lang w:val="en-US"/>
        </w:rPr>
        <w:t xml:space="preserve"> Upon the death of the surviving Grantor, the Survivor</w:t>
      </w:r>
      <w:r>
        <w:rPr>
          <w:rtl w:val="1"/>
        </w:rPr>
        <w:t>’</w:t>
      </w:r>
      <w:r>
        <w:rPr>
          <w:rtl w:val="0"/>
          <w:lang w:val="en-US"/>
        </w:rPr>
        <w:t>s Trust shall become irrevocable.</w:t>
      </w:r>
    </w:p>
    <w:p>
      <w:pPr>
        <w:pStyle w:val="Block Text"/>
      </w:pPr>
      <w:r>
        <w:rPr>
          <w:rtl w:val="0"/>
          <w:lang w:val="en-US"/>
        </w:rPr>
        <w:t>After completion of administrative tasks under Article Eight, the remaining property of the Survivor</w:t>
      </w:r>
      <w:r>
        <w:rPr>
          <w:rtl w:val="0"/>
          <w:lang w:val="en-US"/>
        </w:rPr>
        <w:t>’</w:t>
      </w:r>
      <w:r>
        <w:rPr>
          <w:rtl w:val="0"/>
          <w:lang w:val="en-US"/>
        </w:rPr>
        <w:t>s Trust shall be distributed in accordance with Article Twelve (Distribution in Accordance with the Islamic Law of Inheritance).</w:t>
      </w:r>
      <w:bookmarkEnd w:id="20"/>
    </w:p>
    <w:p>
      <w:pPr>
        <w:pStyle w:val="Heading"/>
      </w:pPr>
      <w:bookmarkStart w:name="articletwelve" w:id="21"/>
      <w:r>
        <w:rPr>
          <w:rFonts w:cs="Arial Unicode MS" w:eastAsia="Arial Unicode MS"/>
          <w:rtl w:val="0"/>
          <w:lang w:val="fr-FR"/>
        </w:rPr>
        <w:t>ARTICLE TWELVE</w:t>
      </w:r>
      <w:bookmarkEnd w:id="21"/>
    </w:p>
    <w:p>
      <w:pPr>
        <w:pStyle w:val="Heading 2"/>
      </w:pPr>
      <w:bookmarkStart w:name="theislamicdistributiontrust" w:id="22"/>
      <w:r>
        <w:rPr>
          <w:rFonts w:cs="Arial Unicode MS" w:eastAsia="Arial Unicode MS"/>
          <w:rtl w:val="0"/>
          <w:lang w:val="en-US"/>
        </w:rPr>
        <w:t>The Islamic Distribution Trust</w:t>
      </w:r>
    </w:p>
    <w:p>
      <w:pPr>
        <w:pStyle w:val="Reader Note"/>
      </w:pPr>
      <w:r>
        <w:rPr>
          <w:rFonts w:ascii="Cambria Bold" w:hAnsi="Cambria Bold"/>
          <w:i w:val="1"/>
          <w:iCs w:val="1"/>
          <w:rtl w:val="0"/>
          <w:lang w:val="en-US"/>
        </w:rPr>
        <w:t>In plain language.</w:t>
      </w:r>
      <w:r>
        <w:rPr>
          <w:rtl w:val="0"/>
          <w:lang w:val="en-US"/>
        </w:rPr>
        <w:t xml:space="preserve"> This is the heart of the Trust. After debts, expenses, and bequests are satisfied, the deceased spouse</w:t>
      </w:r>
      <w:r>
        <w:rPr>
          <w:rtl w:val="0"/>
          <w:lang w:val="en-US"/>
        </w:rPr>
        <w:t>’</w:t>
      </w:r>
      <w:r>
        <w:rPr>
          <w:rtl w:val="0"/>
          <w:lang w:val="en-US"/>
        </w:rPr>
        <w:t>s remaining property is divided among the Islamic heirs according to the fara</w:t>
      </w:r>
      <w:r>
        <w:rPr>
          <w:rtl w:val="0"/>
          <w:lang w:val="en-US"/>
        </w:rPr>
        <w:t>’</w:t>
      </w:r>
      <w:r>
        <w:rPr>
          <w:rtl w:val="0"/>
          <w:lang w:val="en-US"/>
        </w:rPr>
        <w:t>id shares.</w:t>
      </w:r>
    </w:p>
    <w:p>
      <w:pPr>
        <w:pStyle w:val="Trustee Note"/>
      </w:pPr>
      <w:r>
        <w:rPr>
          <w:rFonts w:ascii="Cambria Bold" w:hAnsi="Cambria Bold"/>
          <w:i w:val="1"/>
          <w:iCs w:val="1"/>
          <w:rtl w:val="0"/>
          <w:lang w:val="en-US"/>
        </w:rPr>
        <w:t>Note to the Trustee.</w:t>
      </w:r>
      <w:r>
        <w:rPr>
          <w:rtl w:val="0"/>
          <w:lang w:val="en-US"/>
        </w:rPr>
        <w:t xml:space="preserve"> The fara</w:t>
      </w:r>
      <w:r>
        <w:rPr>
          <w:rtl w:val="0"/>
          <w:lang w:val="en-US"/>
        </w:rPr>
        <w:t>’</w:t>
      </w:r>
      <w:r>
        <w:rPr>
          <w:rtl w:val="0"/>
          <w:lang w:val="en-US"/>
        </w:rPr>
        <w:t xml:space="preserve">id shares are fractions, and they change depending on which heirs are actually living at the date of death. Do not reuse a calculation prepared when the Trust was signed. Recalculate using the heirs living at the death, as Section B requires. If an heir has died before the Grantor, or if you are unsure, use the calculator at </w:t>
      </w:r>
      <w:r>
        <w:rPr>
          <w:rtl w:val="0"/>
          <w:lang w:val="en-US"/>
        </w:rPr>
        <w:t xml:space="preserve">{calculatorURL} </w:t>
      </w:r>
      <w:r>
        <w:rPr>
          <w:rtl w:val="0"/>
          <w:lang w:val="en-US"/>
        </w:rPr>
        <w:t>or get help before distributing anything. A share paid to the wrong person is very difficult to recover.</w:t>
      </w:r>
    </w:p>
    <w:p>
      <w:pPr>
        <w:pStyle w:val="Compact"/>
        <w:numPr>
          <w:ilvl w:val="0"/>
          <w:numId w:val="64"/>
        </w:numPr>
        <w:rPr>
          <w:lang w:val="en-US"/>
        </w:rPr>
      </w:pPr>
      <w:r>
        <w:rPr>
          <w:rFonts w:ascii="Cambria Bold" w:hAnsi="Cambria Bold"/>
          <w:u w:val="single"/>
          <w:rtl w:val="0"/>
          <w:lang w:val="en-US"/>
        </w:rPr>
        <w:t>Application of Islamic Law of Inheritance</w:t>
      </w:r>
      <w:r>
        <w:rPr>
          <w:rtl w:val="0"/>
          <w:lang w:val="en-US"/>
        </w:rPr>
        <w:t xml:space="preserve"> Upon completion of the administrative period described in Article Nine and satisfaction of all valid specific bequests under Article Ten, the Trustee shall distribute the remaining Deceased Grantor</w:t>
      </w:r>
      <w:r>
        <w:rPr>
          <w:rtl w:val="0"/>
          <w:lang w:val="en-US"/>
        </w:rPr>
        <w:t>’</w:t>
      </w:r>
      <w:r>
        <w:rPr>
          <w:rtl w:val="0"/>
          <w:lang w:val="en-US"/>
        </w:rPr>
        <w:t>s Trust Property in strict accordance with the Islamic Law of Inheritance.</w:t>
      </w:r>
    </w:p>
    <w:p>
      <w:pPr>
        <w:pStyle w:val="Block Text"/>
      </w:pPr>
      <w:r>
        <w:rPr>
          <w:rtl w:val="0"/>
          <w:lang w:val="en-US"/>
        </w:rPr>
        <w:t>The Islamic Law of Inheritance shall mean the fara</w:t>
      </w:r>
      <w:r>
        <w:rPr>
          <w:rtl w:val="0"/>
          <w:lang w:val="en-US"/>
        </w:rPr>
        <w:t>’</w:t>
      </w:r>
      <w:r>
        <w:rPr>
          <w:rtl w:val="0"/>
          <w:lang w:val="en-US"/>
        </w:rPr>
        <w:t>id system derived from the Qur</w:t>
      </w:r>
      <w:r>
        <w:rPr>
          <w:rtl w:val="0"/>
          <w:lang w:val="en-US"/>
        </w:rPr>
        <w:t>’</w:t>
      </w:r>
      <w:r>
        <w:rPr>
          <w:rtl w:val="0"/>
          <w:lang w:val="en-US"/>
        </w:rPr>
        <w:t>an and authentic Sunnah, as implemented through the calculation methodology embedded in this Trust instrument.</w:t>
      </w:r>
    </w:p>
    <w:p>
      <w:pPr>
        <w:pStyle w:val="Compact"/>
        <w:numPr>
          <w:ilvl w:val="0"/>
          <w:numId w:val="65"/>
        </w:numPr>
        <w:rPr>
          <w:lang w:val="en-US"/>
        </w:rPr>
      </w:pPr>
      <w:r>
        <w:rPr>
          <w:rFonts w:ascii="Cambria Bold" w:hAnsi="Cambria Bold"/>
          <w:u w:val="single"/>
          <w:rtl w:val="0"/>
          <w:lang w:val="en-US"/>
        </w:rPr>
        <w:t>Identification of Heirs and Recalculation:</w:t>
      </w:r>
      <w:r>
        <w:rPr>
          <w:rtl w:val="0"/>
          <w:lang w:val="en-US"/>
        </w:rPr>
        <w:t xml:space="preserve"> The Trustee shall determine the identity of the Deceased Grantor</w:t>
      </w:r>
      <w:r>
        <w:rPr>
          <w:rtl w:val="0"/>
          <w:lang w:val="en-US"/>
        </w:rPr>
        <w:t>’</w:t>
      </w:r>
      <w:r>
        <w:rPr>
          <w:rtl w:val="0"/>
          <w:lang w:val="en-US"/>
        </w:rPr>
        <w:t>s surviving Islamic heirs as of the date of death.</w:t>
      </w:r>
    </w:p>
    <w:p>
      <w:pPr>
        <w:pStyle w:val="Block Text"/>
      </w:pPr>
      <w:r>
        <w:rPr>
          <w:rtl w:val="0"/>
          <w:lang w:val="en-US"/>
        </w:rPr>
        <w:t>The fractional shares stated in this Trust shall be recalculated at the time of death based on:</w:t>
      </w:r>
    </w:p>
    <w:p>
      <w:pPr>
        <w:pStyle w:val="Body"/>
        <w:numPr>
          <w:ilvl w:val="0"/>
          <w:numId w:val="66"/>
        </w:numPr>
        <w:rPr>
          <w:lang w:val="en-US"/>
        </w:rPr>
      </w:pPr>
      <w:r>
        <w:rPr>
          <w:rtl w:val="0"/>
          <w:lang w:val="en-US"/>
        </w:rPr>
        <w:t>The heirs then living;</w:t>
      </w:r>
    </w:p>
    <w:p>
      <w:pPr>
        <w:pStyle w:val="Body"/>
        <w:numPr>
          <w:ilvl w:val="0"/>
          <w:numId w:val="66"/>
        </w:numPr>
        <w:rPr>
          <w:lang w:val="en-US"/>
        </w:rPr>
      </w:pPr>
      <w:r>
        <w:rPr>
          <w:rtl w:val="0"/>
          <w:lang w:val="en-US"/>
        </w:rPr>
        <w:t>The exclusion rules applicable under Islamic inheritance law;</w:t>
      </w:r>
    </w:p>
    <w:p>
      <w:pPr>
        <w:pStyle w:val="Body"/>
        <w:numPr>
          <w:ilvl w:val="0"/>
          <w:numId w:val="66"/>
        </w:numPr>
        <w:rPr>
          <w:lang w:val="en-US"/>
        </w:rPr>
      </w:pPr>
      <w:r>
        <w:rPr>
          <w:rtl w:val="0"/>
          <w:lang w:val="en-US"/>
        </w:rPr>
        <w:t>The presence or absence of descendants, ascendants, or spouses;</w:t>
      </w:r>
    </w:p>
    <w:p>
      <w:pPr>
        <w:pStyle w:val="Body"/>
        <w:numPr>
          <w:ilvl w:val="0"/>
          <w:numId w:val="66"/>
        </w:numPr>
        <w:rPr>
          <w:lang w:val="en-US"/>
        </w:rPr>
      </w:pPr>
      <w:r>
        <w:rPr>
          <w:rtl w:val="0"/>
          <w:lang w:val="en-US"/>
        </w:rPr>
        <w:t>The principles of residuary distribution (</w:t>
      </w:r>
      <w:r>
        <w:rPr>
          <w:rtl w:val="0"/>
        </w:rPr>
        <w:t>ʿ</w:t>
      </w:r>
      <w:r>
        <w:rPr>
          <w:rtl w:val="0"/>
        </w:rPr>
        <w:t>asabah); and</w:t>
      </w:r>
    </w:p>
    <w:p>
      <w:pPr>
        <w:pStyle w:val="Body"/>
        <w:numPr>
          <w:ilvl w:val="0"/>
          <w:numId w:val="66"/>
        </w:numPr>
        <w:rPr>
          <w:lang w:val="en-US"/>
        </w:rPr>
      </w:pPr>
      <w:r>
        <w:rPr>
          <w:rtl w:val="0"/>
          <w:lang w:val="en-US"/>
        </w:rPr>
        <w:t>The application of radd (return) where applicable.</w:t>
      </w:r>
    </w:p>
    <w:p>
      <w:pPr>
        <w:pStyle w:val="Block Text"/>
      </w:pPr>
      <w:r>
        <w:rPr>
          <w:rtl w:val="0"/>
          <w:lang w:val="en-US"/>
        </w:rPr>
        <w:t>Any fractional shares listed in this Trust are illustrative of the expected calculation based on the Grantors</w:t>
      </w:r>
      <w:r>
        <w:rPr>
          <w:rtl w:val="0"/>
          <w:lang w:val="en-US"/>
        </w:rPr>
        <w:t xml:space="preserve">’ </w:t>
      </w:r>
      <w:r>
        <w:rPr>
          <w:rtl w:val="0"/>
          <w:lang w:val="en-US"/>
        </w:rPr>
        <w:t>family circumstances at execution and shall be superseded by the recalculated shares at death.</w:t>
      </w:r>
    </w:p>
    <w:p>
      <w:pPr>
        <w:pStyle w:val="Compact"/>
        <w:numPr>
          <w:ilvl w:val="0"/>
          <w:numId w:val="67"/>
        </w:numPr>
        <w:rPr>
          <w:lang w:val="en-US"/>
        </w:rPr>
      </w:pPr>
      <w:r>
        <w:rPr>
          <w:rFonts w:ascii="Cambria Bold" w:hAnsi="Cambria Bold"/>
          <w:u w:val="single"/>
          <w:rtl w:val="0"/>
          <w:lang w:val="en-US"/>
        </w:rPr>
        <w:t>Statement of Fractional Shares:</w:t>
      </w:r>
      <w:r>
        <w:rPr>
          <w:rtl w:val="0"/>
          <w:lang w:val="en-US"/>
        </w:rPr>
        <w:t xml:space="preserve"> Upon each Grantor</w:t>
      </w:r>
      <w:r>
        <w:rPr>
          <w:rtl w:val="0"/>
          <w:lang w:val="en-US"/>
        </w:rPr>
        <w:t>’</w:t>
      </w:r>
      <w:r>
        <w:rPr>
          <w:rtl w:val="0"/>
          <w:lang w:val="en-US"/>
        </w:rPr>
        <w:t>s death, the Trustee shall divide that Grantor</w:t>
      </w:r>
      <w:r>
        <w:rPr>
          <w:rtl w:val="0"/>
          <w:lang w:val="en-US"/>
        </w:rPr>
        <w:t>’</w:t>
      </w:r>
      <w:r>
        <w:rPr>
          <w:rtl w:val="0"/>
          <w:lang w:val="en-US"/>
        </w:rPr>
        <w:t>s net distributable estate into fractional shares as calculated in accordance with Section B.</w:t>
      </w:r>
    </w:p>
    <w:p>
      <w:pPr>
        <w:pStyle w:val="Block Text"/>
      </w:pPr>
      <w:r>
        <w:rPr>
          <w:rtl w:val="0"/>
          <w:lang w:val="en-US"/>
        </w:rPr>
        <w:t>The calculated fractional shares shall be stated expressly in a written Calculation Certificate prepared by the Trustee and maintained with the Trust records.</w:t>
      </w:r>
    </w:p>
    <w:p>
      <w:pPr>
        <w:pStyle w:val="Block Text"/>
      </w:pPr>
      <w:r>
        <w:rPr>
          <w:rtl w:val="0"/>
          <w:lang w:val="en-US"/>
        </w:rPr>
        <w:t>The Trustee</w:t>
      </w:r>
      <w:r>
        <w:rPr>
          <w:rtl w:val="0"/>
          <w:lang w:val="en-US"/>
        </w:rPr>
        <w:t>’</w:t>
      </w:r>
      <w:r>
        <w:rPr>
          <w:rtl w:val="0"/>
          <w:lang w:val="en-US"/>
        </w:rPr>
        <w:t>s good-faith calculation shall be binding and conclusive absent manifest error.</w:t>
      </w:r>
    </w:p>
    <w:p>
      <w:pPr>
        <w:pStyle w:val="Body Text"/>
      </w:pPr>
    </w:p>
    <w:p>
      <w:pPr>
        <w:keepNext w:val="0"/>
        <w:keepLines w:val="0"/>
        <w:pageBreakBefore w:val="0"/>
        <w:widowControl w:val="0"/>
        <w:shd w:val="clear" w:color="auto" w:fill="auto"/>
        <w:suppressAutoHyphens w:val="0"/>
        <w:bidi w:val="0"/>
        <w:spacing w:before="0" w:after="0" w:line="240" w:lineRule="auto"/>
        <w:ind w:left="363" w:right="0" w:firstLine="0"/>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rtl w:val="0"/>
          <w:lang w:val="en-US"/>
          <w14:textOutline>
            <w14:noFill/>
          </w14:textOutline>
          <w14:textFill>
            <w14:solidFill>
              <w14:srgbClr w14:val="000000"/>
            </w14:solidFill>
          </w14:textFill>
        </w:rPr>
        <w:t>Husband Heirs</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3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Share</w:t>
            </w:r>
          </w:p>
        </w:tc>
      </w:tr>
      <w:tr>
        <w:tblPrEx>
          <w:shd w:val="clear" w:color="auto" w:fill="ced7e7"/>
        </w:tblPrEx>
        <w:trPr>
          <w:trHeight w:val="27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{#husbandHeirs}{heirName}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{heirShare}{/husbandHeirs}</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p>
    <w:p>
      <w:pPr>
        <w:keepNext w:val="0"/>
        <w:keepLines w:val="0"/>
        <w:pageBreakBefore w:val="0"/>
        <w:widowControl w:val="0"/>
        <w:shd w:val="clear" w:color="auto" w:fill="auto"/>
        <w:tabs>
          <w:tab w:val="left" w:pos="5270"/>
        </w:tabs>
        <w:suppressAutoHyphens w:val="0"/>
        <w:bidi w:val="0"/>
        <w:spacing w:before="123" w:after="0" w:line="240" w:lineRule="auto"/>
        <w:ind w:left="501" w:right="0" w:hanging="501"/>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keepNext w:val="0"/>
        <w:keepLines w:val="0"/>
        <w:pageBreakBefore w:val="0"/>
        <w:widowControl w:val="0"/>
        <w:shd w:val="clear" w:color="auto" w:fill="auto"/>
        <w:suppressAutoHyphens w:val="0"/>
        <w:bidi w:val="0"/>
        <w:spacing w:before="0" w:after="0" w:line="240" w:lineRule="auto"/>
        <w:ind w:left="363" w:right="0" w:firstLine="0"/>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rtl w:val="0"/>
          <w:lang w:val="en-US"/>
          <w14:textOutline>
            <w14:noFill/>
          </w14:textOutline>
          <w14:textFill>
            <w14:solidFill>
              <w14:srgbClr w14:val="000000"/>
            </w14:solidFill>
          </w14:textFill>
        </w:rPr>
        <w:t>Wife Heirs</w:t>
      </w:r>
    </w:p>
    <w:tbl>
      <w:tblPr>
        <w:tblW w:w="11018" w:type="dxa"/>
        <w:jc w:val="left"/>
        <w:tblInd w:w="71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3"/>
        <w:gridCol w:w="3673"/>
        <w:gridCol w:w="3672"/>
      </w:tblGrid>
      <w:tr>
        <w:tblPrEx>
          <w:shd w:val="clear" w:color="auto" w:fill="ced7e7"/>
        </w:tblPrEx>
        <w:trPr>
          <w:trHeight w:val="330"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577"/>
              <w:bottom w:type="dxa" w:w="80"/>
              <w:right w:type="dxa" w:w="80"/>
            </w:tcMar>
            <w:vAlign w:val="top"/>
          </w:tcPr>
          <w:p>
            <w:pPr>
              <w:keepNext w:val="0"/>
              <w:keepLines w:val="0"/>
              <w:pageBreakBefore w:val="0"/>
              <w:widowControl w:val="0"/>
              <w:shd w:val="clear" w:color="auto" w:fill="auto"/>
              <w:tabs>
                <w:tab w:val="left" w:pos="5269"/>
              </w:tabs>
              <w:suppressAutoHyphens w:val="0"/>
              <w:bidi w:val="0"/>
              <w:spacing w:before="0" w:after="0" w:line="240" w:lineRule="auto"/>
              <w:ind w:left="497" w:right="0" w:firstLine="0"/>
              <w:jc w:val="left"/>
              <w:outlineLvl w:val="9"/>
              <w:rPr>
                <w:rtl w:val="0"/>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Share</w:t>
            </w:r>
          </w:p>
        </w:tc>
      </w:tr>
      <w:tr>
        <w:tblPrEx>
          <w:shd w:val="clear" w:color="auto" w:fill="ced7e7"/>
        </w:tblPrEx>
        <w:trPr>
          <w:trHeight w:val="271" w:hRule="atLeast"/>
        </w:trPr>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{#wifeHeirs}{heirName}</w:t>
            </w:r>
          </w:p>
        </w:tc>
        <w:tc>
          <w:tcPr>
            <w:tcW w:type="dxa" w:w="367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{heirRelationship}</w:t>
            </w:r>
          </w:p>
        </w:tc>
        <w:tc>
          <w:tcPr>
            <w:tcW w:type="dxa" w:w="367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{heirShare}{/wifeHeirs}</w:t>
            </w:r>
          </w:p>
        </w:tc>
      </w:tr>
    </w:tbl>
    <w:p>
      <w:pPr>
        <w:keepNext w:val="0"/>
        <w:keepLines w:val="0"/>
        <w:pageBreakBefore w:val="0"/>
        <w:widowControl w:val="0"/>
        <w:shd w:val="clear" w:color="auto" w:fill="auto"/>
        <w:suppressAutoHyphens w:val="0"/>
        <w:bidi w:val="0"/>
        <w:spacing w:before="0" w:after="0" w:line="240" w:lineRule="auto"/>
        <w:ind w:left="609" w:right="0" w:hanging="609"/>
        <w:jc w:val="left"/>
        <w:outlineLvl w:val="2"/>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rtl w:val="0"/>
          <w:lang w:val="en-US"/>
          <w14:textOutline>
            <w14:noFill/>
          </w14:textOutline>
          <w14:textFill>
            <w14:solidFill>
              <w14:srgbClr w14:val="000000"/>
            </w14:solidFill>
          </w14:textFill>
        </w:rPr>
      </w:pPr>
    </w:p>
    <w:p>
      <w:pPr>
        <w:keepNext w:val="0"/>
        <w:keepLines w:val="0"/>
        <w:pageBreakBefore w:val="0"/>
        <w:widowControl w:val="0"/>
        <w:shd w:val="clear" w:color="auto" w:fill="auto"/>
        <w:tabs>
          <w:tab w:val="left" w:pos="5270"/>
        </w:tabs>
        <w:suppressAutoHyphens w:val="0"/>
        <w:bidi w:val="0"/>
        <w:spacing w:before="123" w:after="0" w:line="240" w:lineRule="auto"/>
        <w:ind w:left="501" w:right="0" w:hanging="501"/>
        <w:jc w:val="left"/>
        <w:outlineLvl w:val="9"/>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w="12700" w14:cap="flat">
            <w14:noFill/>
            <w14:miter w14:lim="400000"/>
          </w14:textOutline>
          <w14:textFill>
            <w14:solidFill>
              <w14:srgbClr w14:val="000000"/>
            </w14:solidFill>
          </w14:textFill>
        </w:rPr>
      </w:pPr>
    </w:p>
    <w:p>
      <w:pPr>
        <w:pStyle w:val="Block Text"/>
      </w:pPr>
    </w:p>
    <w:p>
      <w:pPr>
        <w:pStyle w:val="Body"/>
        <w:numPr>
          <w:ilvl w:val="0"/>
          <w:numId w:val="68"/>
        </w:numPr>
        <w:rPr>
          <w:lang w:val="en-US"/>
        </w:rPr>
      </w:pPr>
      <w:r>
        <w:rPr>
          <w:rFonts w:ascii="Cambria Bold" w:hAnsi="Cambria Bold"/>
          <w:u w:val="single"/>
          <w:rtl w:val="0"/>
          <w:lang w:val="en-US"/>
        </w:rPr>
        <w:t>Distribution to Adult Beneficiaries:</w:t>
      </w:r>
      <w:r>
        <w:rPr>
          <w:rtl w:val="0"/>
          <w:lang w:val="en-US"/>
        </w:rPr>
        <w:t xml:space="preserve"> Any beneficiary who has attained the age selected by the Grantors in the minor distribution provisions of this Trust shall receive his or her share outright.</w:t>
      </w:r>
    </w:p>
    <w:p>
      <w:pPr>
        <w:pStyle w:val="Body"/>
        <w:numPr>
          <w:ilvl w:val="0"/>
          <w:numId w:val="20"/>
        </w:numPr>
        <w:rPr>
          <w:lang w:val="en-US"/>
        </w:rPr>
      </w:pPr>
      <w:r>
        <w:rPr>
          <w:rFonts w:ascii="Cambria Bold" w:hAnsi="Cambria Bold"/>
          <w:u w:val="single"/>
          <w:rtl w:val="0"/>
          <w:lang w:val="en-US"/>
        </w:rPr>
        <w:t>Distribution to Minor Beneficiaries:</w:t>
      </w:r>
      <w:r>
        <w:rPr>
          <w:rtl w:val="0"/>
          <w:lang w:val="en-US"/>
        </w:rPr>
        <w:t xml:space="preserve"> If a beneficiary entitled to receive a share under this Article has not attained the age selected by the Grantors for outright distribution, that beneficiary</w:t>
      </w:r>
      <w:r>
        <w:rPr>
          <w:rtl w:val="1"/>
        </w:rPr>
        <w:t>’</w:t>
      </w:r>
      <w:r>
        <w:rPr>
          <w:rtl w:val="0"/>
          <w:lang w:val="en-US"/>
        </w:rPr>
        <w:t>s share shall be held in a separate trust for that beneficiary.</w:t>
      </w:r>
    </w:p>
    <w:p>
      <w:pPr>
        <w:pStyle w:val="Block Text"/>
      </w:pPr>
      <w:r>
        <w:rPr>
          <w:rtl w:val="0"/>
          <w:lang w:val="en-US"/>
        </w:rPr>
        <w:t>The Trustee shall administer each such trust in accordance with the minor distribution provisions contained elsewhere in this instrument.</w:t>
      </w:r>
    </w:p>
    <w:p>
      <w:pPr>
        <w:pStyle w:val="Compact"/>
        <w:numPr>
          <w:ilvl w:val="0"/>
          <w:numId w:val="69"/>
        </w:numPr>
        <w:rPr>
          <w:lang w:val="en-US"/>
        </w:rPr>
      </w:pPr>
      <w:r>
        <w:rPr>
          <w:rFonts w:ascii="Cambria Bold" w:hAnsi="Cambria Bold"/>
          <w:u w:val="single"/>
          <w:rtl w:val="0"/>
          <w:lang w:val="en-US"/>
        </w:rPr>
        <w:t>Failure or Lapse:</w:t>
      </w:r>
      <w:r>
        <w:rPr>
          <w:rtl w:val="0"/>
          <w:lang w:val="en-US"/>
        </w:rPr>
        <w:t xml:space="preserve"> If any person otherwise entitled to inherit under this Article predeceases the Deceased Grantor, that person</w:t>
      </w:r>
      <w:r>
        <w:rPr>
          <w:rtl w:val="0"/>
          <w:lang w:val="en-US"/>
        </w:rPr>
        <w:t>’</w:t>
      </w:r>
      <w:r>
        <w:rPr>
          <w:rtl w:val="0"/>
          <w:lang w:val="en-US"/>
        </w:rPr>
        <w:t>s share shall be recalculated and redistributed among the remaining heirs in accordance with the Islamic Law of Inheritance.</w:t>
      </w:r>
      <w:bookmarkEnd w:id="22"/>
    </w:p>
    <w:p>
      <w:pPr>
        <w:pStyle w:val="Heading"/>
      </w:pPr>
      <w:bookmarkStart w:name="articlethirteen" w:id="23"/>
      <w:r>
        <w:rPr>
          <w:rFonts w:cs="Arial Unicode MS" w:eastAsia="Arial Unicode MS"/>
          <w:rtl w:val="0"/>
          <w:lang w:val="de-DE"/>
        </w:rPr>
        <w:t>ARTICLE THIRTEEN</w:t>
      </w:r>
      <w:bookmarkEnd w:id="23"/>
    </w:p>
    <w:p>
      <w:pPr>
        <w:pStyle w:val="Heading 2"/>
      </w:pPr>
      <w:bookmarkStart w:name="X9da0b690489a6dddb5be7a97a94bd0a9ac23ef6" w:id="24"/>
      <w:r>
        <w:rPr>
          <w:rFonts w:cs="Arial Unicode MS" w:eastAsia="Arial Unicode MS"/>
          <w:rtl w:val="0"/>
          <w:lang w:val="en-US"/>
        </w:rPr>
        <w:t>Administration of Shares for Minor or Incapacitated Beneficiaries</w:t>
      </w:r>
    </w:p>
    <w:p>
      <w:pPr>
        <w:pStyle w:val="Reader Note"/>
      </w:pPr>
      <w:r>
        <w:rPr>
          <w:rFonts w:ascii="Cambria Bold" w:hAnsi="Cambria Bold"/>
          <w:i w:val="1"/>
          <w:iCs w:val="1"/>
          <w:rtl w:val="0"/>
          <w:lang w:val="en-US"/>
        </w:rPr>
        <w:t>In plain language.</w:t>
      </w:r>
      <w:r>
        <w:rPr>
          <w:rtl w:val="0"/>
          <w:lang w:val="en-US"/>
        </w:rPr>
        <w:t xml:space="preserve"> A child</w:t>
      </w:r>
      <w:r>
        <w:rPr>
          <w:rtl w:val="0"/>
          <w:lang w:val="en-US"/>
        </w:rPr>
        <w:t>’</w:t>
      </w:r>
      <w:r>
        <w:rPr>
          <w:rtl w:val="0"/>
          <w:lang w:val="en-US"/>
        </w:rPr>
        <w:t>s or incapacitated heir</w:t>
      </w:r>
      <w:r>
        <w:rPr>
          <w:rtl w:val="0"/>
          <w:lang w:val="en-US"/>
        </w:rPr>
        <w:t>’</w:t>
      </w:r>
      <w:r>
        <w:rPr>
          <w:rtl w:val="0"/>
          <w:lang w:val="en-US"/>
        </w:rPr>
        <w:t>s share is not handed over in cash. It is held in a separate trust for that person and used for their benefit until they reach the age set in this Article.</w:t>
      </w:r>
    </w:p>
    <w:p>
      <w:pPr>
        <w:pStyle w:val="Compact"/>
        <w:numPr>
          <w:ilvl w:val="0"/>
          <w:numId w:val="70"/>
        </w:numPr>
        <w:rPr>
          <w:lang w:val="en-US"/>
        </w:rPr>
      </w:pPr>
      <w:r>
        <w:rPr>
          <w:rFonts w:ascii="Cambria Bold" w:hAnsi="Cambria Bold"/>
          <w:u w:val="single"/>
          <w:rtl w:val="0"/>
          <w:lang w:val="en-US"/>
        </w:rPr>
        <w:t>General Rule:</w:t>
      </w:r>
      <w:r>
        <w:rPr>
          <w:rtl w:val="0"/>
          <w:lang w:val="en-US"/>
        </w:rPr>
        <w:t xml:space="preserve"> If any beneficiary entitled to receive a distribution under Article Twelve has not attained the age designated for outright distribution under this Article at the time of distribution, that beneficiary</w:t>
      </w:r>
      <w:r>
        <w:rPr>
          <w:rtl w:val="0"/>
          <w:lang w:val="en-US"/>
        </w:rPr>
        <w:t>’</w:t>
      </w:r>
      <w:r>
        <w:rPr>
          <w:rtl w:val="0"/>
          <w:lang w:val="en-US"/>
        </w:rPr>
        <w:t>s share shall be held in a separate trust for that beneficiary.</w:t>
      </w:r>
    </w:p>
    <w:p>
      <w:pPr>
        <w:pStyle w:val="Block Text"/>
      </w:pPr>
      <w:r>
        <w:rPr>
          <w:rtl w:val="0"/>
          <w:lang w:val="en-US"/>
        </w:rPr>
        <w:t>Each beneficiary</w:t>
      </w:r>
      <w:r>
        <w:rPr>
          <w:rtl w:val="0"/>
          <w:lang w:val="en-US"/>
        </w:rPr>
        <w:t>’</w:t>
      </w:r>
      <w:r>
        <w:rPr>
          <w:rtl w:val="0"/>
          <w:lang w:val="en-US"/>
        </w:rPr>
        <w:t>s trust shall be administered independently.</w:t>
      </w:r>
    </w:p>
    <w:p>
      <w:pPr>
        <w:pStyle w:val="Compact"/>
        <w:numPr>
          <w:ilvl w:val="0"/>
          <w:numId w:val="71"/>
        </w:numPr>
        <w:rPr>
          <w:lang w:val="en-US"/>
        </w:rPr>
      </w:pPr>
      <w:r>
        <w:rPr>
          <w:rFonts w:ascii="Cambria Bold" w:hAnsi="Cambria Bold"/>
          <w:u w:val="single"/>
          <w:rtl w:val="0"/>
          <w:lang w:val="en-US"/>
        </w:rPr>
        <w:t>Trustee Authority During Minority:</w:t>
      </w:r>
      <w:r>
        <w:rPr>
          <w:rtl w:val="0"/>
          <w:lang w:val="en-US"/>
        </w:rPr>
        <w:t xml:space="preserve"> Until final distribution, the Trustee may distribute as much of the income and principal of the beneficiary</w:t>
      </w:r>
      <w:r>
        <w:rPr>
          <w:rtl w:val="0"/>
          <w:lang w:val="en-US"/>
        </w:rPr>
        <w:t>’</w:t>
      </w:r>
      <w:r>
        <w:rPr>
          <w:rtl w:val="0"/>
          <w:lang w:val="en-US"/>
        </w:rPr>
        <w:t>s trust as the Trustee determines advisable for the beneficiary</w:t>
      </w:r>
      <w:r>
        <w:rPr>
          <w:rtl w:val="0"/>
          <w:lang w:val="en-US"/>
        </w:rPr>
        <w:t>’</w:t>
      </w:r>
      <w:r>
        <w:rPr>
          <w:rtl w:val="0"/>
          <w:lang w:val="en-US"/>
        </w:rPr>
        <w:t>s health, education, maintenance, and support.</w:t>
      </w:r>
    </w:p>
    <w:p>
      <w:pPr>
        <w:pStyle w:val="Block Text"/>
      </w:pPr>
      <w:r>
        <w:rPr>
          <w:rtl w:val="0"/>
          <w:lang w:val="en-US"/>
        </w:rPr>
        <w:t>Any undistributed income shall be added to principal.</w:t>
      </w:r>
    </w:p>
    <w:p>
      <w:pPr>
        <w:pStyle w:val="Block Text"/>
      </w:pPr>
      <w:r>
        <w:rPr>
          <w:rtl w:val="0"/>
          <w:lang w:val="en-US"/>
        </w:rPr>
        <w:t>The Trustee may make distributions:</w:t>
      </w:r>
    </w:p>
    <w:p>
      <w:pPr>
        <w:pStyle w:val="Body"/>
        <w:numPr>
          <w:ilvl w:val="0"/>
          <w:numId w:val="72"/>
        </w:numPr>
        <w:rPr>
          <w:lang w:val="en-US"/>
        </w:rPr>
      </w:pPr>
      <w:r>
        <w:rPr>
          <w:rtl w:val="0"/>
          <w:lang w:val="en-US"/>
        </w:rPr>
        <w:t>Directly to the beneficiary;</w:t>
      </w:r>
    </w:p>
    <w:p>
      <w:pPr>
        <w:pStyle w:val="Body"/>
        <w:numPr>
          <w:ilvl w:val="0"/>
          <w:numId w:val="10"/>
        </w:numPr>
        <w:rPr>
          <w:lang w:val="en-US"/>
        </w:rPr>
      </w:pPr>
      <w:r>
        <w:rPr>
          <w:rtl w:val="0"/>
          <w:lang w:val="en-US"/>
        </w:rPr>
        <w:t>To a parent, guardian, or conservator;</w:t>
      </w:r>
    </w:p>
    <w:p>
      <w:pPr>
        <w:pStyle w:val="Body"/>
        <w:numPr>
          <w:ilvl w:val="0"/>
          <w:numId w:val="10"/>
        </w:numPr>
        <w:rPr>
          <w:lang w:val="en-US"/>
        </w:rPr>
      </w:pPr>
      <w:r>
        <w:rPr>
          <w:rtl w:val="0"/>
          <w:lang w:val="en-US"/>
        </w:rPr>
        <w:t>To a person or entity providing goods or services for the beneficiary</w:t>
      </w:r>
      <w:r>
        <w:rPr>
          <w:rtl w:val="1"/>
        </w:rPr>
        <w:t>’</w:t>
      </w:r>
      <w:r>
        <w:rPr>
          <w:rtl w:val="0"/>
          <w:lang w:val="en-US"/>
        </w:rPr>
        <w:t>s benefit; or</w:t>
      </w:r>
    </w:p>
    <w:p>
      <w:pPr>
        <w:pStyle w:val="Body"/>
        <w:numPr>
          <w:ilvl w:val="0"/>
          <w:numId w:val="10"/>
        </w:numPr>
        <w:rPr>
          <w:lang w:val="en-US"/>
        </w:rPr>
      </w:pPr>
      <w:r>
        <w:rPr>
          <w:rtl w:val="0"/>
          <w:lang w:val="en-US"/>
        </w:rPr>
        <w:t>In any lawful manner the Trustee determines appropriate.</w:t>
      </w:r>
    </w:p>
    <w:p>
      <w:pPr>
        <w:pStyle w:val="Compact"/>
        <w:numPr>
          <w:ilvl w:val="0"/>
          <w:numId w:val="73"/>
        </w:numPr>
        <w:rPr>
          <w:lang w:val="en-US"/>
        </w:rPr>
      </w:pPr>
      <w:r>
        <w:rPr>
          <w:rFonts w:ascii="Cambria Bold" w:hAnsi="Cambria Bold"/>
          <w:u w:val="single"/>
          <w:rtl w:val="0"/>
          <w:lang w:val="en-US"/>
        </w:rPr>
        <w:t>Method of Final Distribution (Grantor Election):</w:t>
      </w:r>
      <w:r>
        <w:rPr>
          <w:rtl w:val="0"/>
          <w:lang w:val="en-US"/>
        </w:rPr>
        <w:t xml:space="preserve"> The Grantors have selected one of the following distribution structures, which shall apply to all beneficiaries unless otherwise specified:</w:t>
      </w:r>
    </w:p>
    <w:p>
      <w:pPr>
        <w:pStyle w:val="Body Text"/>
      </w:pPr>
      <w:r>
        <w:rPr>
          <w:rtl w:val="0"/>
          <w:lang w:val="en-US"/>
        </w:rPr>
        <w:t>{#distribution}</w:t>
      </w:r>
    </w:p>
    <w:p>
      <w:pPr>
        <w:pStyle w:val="First Paragraph"/>
      </w:pPr>
      <w:r>
        <w:rPr>
          <w:rtl w:val="0"/>
          <w:lang w:val="en-US"/>
        </w:rPr>
        <w:t>{#mode === 'staggered'}</w:t>
      </w:r>
    </w:p>
    <w:p>
      <w:pPr>
        <w:pStyle w:val="Body Text"/>
      </w:pPr>
      <w:r>
        <w:rPr>
          <w:rtl w:val="0"/>
          <w:lang w:val="en-US"/>
        </w:rPr>
        <w:t>The beneficiary shall receive:</w:t>
      </w:r>
    </w:p>
    <w:p>
      <w:pPr>
        <w:keepNext w:val="0"/>
        <w:keepLines w:val="0"/>
        <w:pageBreakBefore w:val="0"/>
        <w:widowControl w:val="0"/>
        <w:numPr>
          <w:ilvl w:val="0"/>
          <w:numId w:val="75"/>
        </w:numPr>
        <w:shd w:val="clear" w:color="auto" w:fill="auto"/>
        <w:suppressAutoHyphens w:val="0"/>
        <w:bidi w:val="0"/>
        <w:spacing w:before="165"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{firstPercent}% of the trust property at age {firstAge};</w:t>
      </w:r>
    </w:p>
    <w:p>
      <w:pPr>
        <w:keepNext w:val="0"/>
        <w:keepLines w:val="0"/>
        <w:pageBreakBefore w:val="0"/>
        <w:widowControl w:val="0"/>
        <w:numPr>
          <w:ilvl w:val="0"/>
          <w:numId w:val="75"/>
        </w:numPr>
        <w:shd w:val="clear" w:color="auto" w:fill="auto"/>
        <w:suppressAutoHyphens w:val="0"/>
        <w:bidi w:val="0"/>
        <w:spacing w:before="143"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{secondPercent}% of the trust property at age {secondAge}; and</w:t>
      </w:r>
    </w:p>
    <w:p>
      <w:pPr>
        <w:keepNext w:val="0"/>
        <w:keepLines w:val="0"/>
        <w:pageBreakBefore w:val="0"/>
        <w:widowControl w:val="0"/>
        <w:numPr>
          <w:ilvl w:val="0"/>
          <w:numId w:val="76"/>
        </w:numPr>
        <w:shd w:val="clear" w:color="auto" w:fill="auto"/>
        <w:suppressAutoHyphens w:val="0"/>
        <w:bidi w:val="0"/>
        <w:spacing w:before="142" w:after="0" w:line="240" w:lineRule="auto"/>
        <w:ind w:right="0"/>
        <w:jc w:val="left"/>
        <w:outlineLvl w:val="9"/>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The remaining balance at age {remainderAge}.</w:t>
      </w: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 xml:space="preserve"> </w:t>
      </w:r>
      <w:r>
        <w:rPr>
          <w:rFonts w:ascii="Times New Roman" w:cs="Arial Unicode MS" w:hAnsi="Times New Roman" w:eastAsia="Arial Unicode MS"/>
          <w:b w:val="0"/>
          <w:bCs w:val="0"/>
          <w:i w:val="0"/>
          <w:iCs w:val="0"/>
          <w:caps w:val="0"/>
          <w:smallCaps w:val="0"/>
          <w:strike w:val="0"/>
          <w:dstrike w:val="0"/>
          <w:outline w:val="0"/>
          <w:color w:val="030303"/>
          <w:spacing w:val="0"/>
          <w:kern w:val="0"/>
          <w:position w:val="0"/>
          <w:sz w:val="24"/>
          <w:szCs w:val="24"/>
          <w:u w:val="none" w:color="000000"/>
          <w:shd w:val="nil" w:color="auto" w:fill="auto"/>
          <w:vertAlign w:val="baseline"/>
          <w:rtl w:val="0"/>
          <w:lang w:val="en-US"/>
          <w14:textOutline w14:w="12700" w14:cap="flat">
            <w14:noFill/>
            <w14:miter w14:lim="400000"/>
          </w14:textOutline>
          <w14:textFill>
            <w14:solidFill>
              <w14:srgbClr w14:val="030303"/>
            </w14:solidFill>
          </w14:textFill>
        </w:rPr>
        <w:t>In no event shall final distribution occur later than age 30.</w:t>
      </w:r>
    </w:p>
    <w:p>
      <w:pPr>
        <w:pStyle w:val="First Paragraph"/>
      </w:pPr>
      <w:r>
        <w:rPr>
          <w:rtl w:val="0"/>
          <w:lang w:val="en-US"/>
        </w:rPr>
        <w:t>{/mode === 'staggered'}</w:t>
      </w:r>
    </w:p>
    <w:p>
      <w:pPr>
        <w:pStyle w:val="First Paragraph"/>
      </w:pPr>
      <w:r>
        <w:rPr>
          <w:rtl w:val="0"/>
          <w:lang w:val="en-US"/>
        </w:rPr>
        <w:t>{#mode === 'single-age'}</w:t>
      </w:r>
    </w:p>
    <w:p>
      <w:pPr>
        <w:pStyle w:val="Body Text"/>
      </w:pPr>
      <w:r>
        <w:rPr>
          <w:rtl w:val="0"/>
          <w:lang w:val="en-US"/>
        </w:rPr>
        <w:t>The beneficiary shall receive the entire remaining trust property outright upon reaching age {singleDistributionAge}, not to exceed age 30.</w:t>
      </w:r>
    </w:p>
    <w:p>
      <w:pPr>
        <w:pStyle w:val="First Paragraph"/>
      </w:pPr>
      <w:r>
        <w:rPr>
          <w:rtl w:val="0"/>
          <w:lang w:val="en-US"/>
        </w:rPr>
        <w:t>{/mode === 'single-age'}</w:t>
      </w:r>
    </w:p>
    <w:p>
      <w:pPr>
        <w:pStyle w:val="Body Text"/>
      </w:pPr>
      <w:r>
        <w:rPr>
          <w:rtl w:val="0"/>
          <w:lang w:val="en-US"/>
        </w:rPr>
        <w:t>{/distribution}</w:t>
      </w:r>
    </w:p>
    <w:p>
      <w:pPr>
        <w:pStyle w:val="Body"/>
        <w:numPr>
          <w:ilvl w:val="0"/>
          <w:numId w:val="77"/>
        </w:numPr>
      </w:pPr>
      <w:bookmarkStart w:name="X9da0b690489a6dddb5be7a97a94bd0a9ac23ef2" w:id="25"/>
      <w:r>
        <w:rPr>
          <w:rFonts w:ascii="Cambria Bold" w:hAnsi="Cambria Bold"/>
          <w:u w:val="single"/>
          <w:rtl w:val="0"/>
          <w:lang w:val="en-US"/>
        </w:rPr>
        <w:t>Early Distribution Upon Attainment of R</w:t>
      </w:r>
      <w:r>
        <w:rPr>
          <w:rFonts w:ascii="Cambria Bold" w:hAnsi="Cambria Bold" w:hint="default"/>
          <w:u w:val="single"/>
          <w:rtl w:val="0"/>
        </w:rPr>
        <w:t>ū</w:t>
      </w:r>
      <w:r>
        <w:rPr>
          <w:rFonts w:ascii="Cambria Bold" w:hAnsi="Cambria Bold"/>
          <w:u w:val="single"/>
          <w:rtl w:val="0"/>
        </w:rPr>
        <w:t>shd:</w:t>
      </w:r>
      <w:r>
        <w:rPr>
          <w:rtl w:val="0"/>
          <w:lang w:val="en-US"/>
        </w:rPr>
        <w:t xml:space="preserve"> Notwithstanding the distribution age or ages selected under Section C, the Trustee may, but is not required to, distribute all or any part of a beneficiary's share before the stated age if the Trustee is satisfied that the beneficiary has attained r</w:t>
      </w:r>
      <w:r>
        <w:rPr>
          <w:rtl w:val="0"/>
        </w:rPr>
        <w:t>ū</w:t>
      </w:r>
      <w:r>
        <w:rPr>
          <w:rtl w:val="0"/>
        </w:rPr>
        <w:t xml:space="preserve">shd </w:t>
      </w:r>
      <w:r>
        <w:rPr>
          <w:rtl w:val="0"/>
          <w:lang w:val="en-US"/>
        </w:rPr>
        <w:t xml:space="preserve">— </w:t>
      </w:r>
      <w:r>
        <w:rPr>
          <w:rtl w:val="0"/>
          <w:lang w:val="en-US"/>
        </w:rPr>
        <w:t>maturity and sound judgment in the management of property.</w:t>
      </w:r>
    </w:p>
    <w:p>
      <w:pPr>
        <w:pStyle w:val="Body"/>
        <w:numPr>
          <w:ilvl w:val="1"/>
          <w:numId w:val="10"/>
        </w:numPr>
      </w:pPr>
      <w:r>
        <w:rPr>
          <w:rFonts w:ascii="Cambria Bold" w:hAnsi="Cambria Bold"/>
          <w:u w:val="single"/>
          <w:rtl w:val="0"/>
          <w:lang w:val="en-US"/>
        </w:rPr>
        <w:t>Guidance to the Trustee</w:t>
      </w:r>
      <w:r>
        <w:rPr>
          <w:rtl w:val="0"/>
          <w:lang w:val="en-US"/>
        </w:rPr>
        <w:t>: In making this determination the Trustee may consider, without being bound by, the beneficiary's demonstrated ability to manage money and prior distributions responsibly; the beneficiary's freedom from substance dependence, gambling, or compulsive spending; the beneficiary's completion of education or sustained employment; the beneficiary's religious and personal responsibility; and any other circumstance the Trustee reasonably considers relevant. No single factor is required, and no combination of factors compels distribution.</w:t>
      </w:r>
    </w:p>
    <w:p>
      <w:pPr>
        <w:pStyle w:val="Body"/>
        <w:numPr>
          <w:ilvl w:val="1"/>
          <w:numId w:val="10"/>
        </w:numPr>
      </w:pPr>
      <w:r>
        <w:rPr>
          <w:rFonts w:ascii="Cambria Bold" w:hAnsi="Cambria Bold"/>
          <w:u w:val="single"/>
          <w:rtl w:val="0"/>
          <w:lang w:val="en-US"/>
        </w:rPr>
        <w:t>No Duty; No Liability</w:t>
      </w:r>
      <w:r>
        <w:rPr>
          <w:rtl w:val="0"/>
          <w:lang w:val="en-US"/>
        </w:rPr>
        <w:t>: The Trustee has no duty to consider whether a beneficiary has attained r</w:t>
      </w:r>
      <w:r>
        <w:rPr>
          <w:rtl w:val="0"/>
        </w:rPr>
        <w:t>ū</w:t>
      </w:r>
      <w:r>
        <w:rPr>
          <w:rtl w:val="0"/>
          <w:lang w:val="en-US"/>
        </w:rPr>
        <w:t>shd, no duty to distribute early, and no liability to any beneficiary for declining to do so. A decision not to distribute early is not a breach of any duty owed to any beneficiary, and the distribution age selected under Section C shall continue to apply.</w:t>
      </w:r>
    </w:p>
    <w:p>
      <w:pPr>
        <w:pStyle w:val="Body"/>
        <w:numPr>
          <w:ilvl w:val="1"/>
          <w:numId w:val="10"/>
        </w:numPr>
      </w:pPr>
      <w:r>
        <w:rPr>
          <w:rFonts w:ascii="Cambria Bold" w:hAnsi="Cambria Bold"/>
          <w:u w:val="single"/>
          <w:rtl w:val="0"/>
          <w:lang w:val="en-US"/>
        </w:rPr>
        <w:t>Partial and Repeated Distributions</w:t>
      </w:r>
      <w:r>
        <w:rPr>
          <w:rtl w:val="0"/>
          <w:lang w:val="en-US"/>
        </w:rPr>
        <w:t>: The Trustee may distribute part of a beneficiary's share and retain the remainder, and may make more than one early distribution.</w:t>
      </w:r>
    </w:p>
    <w:p>
      <w:pPr>
        <w:pStyle w:val="Body"/>
        <w:numPr>
          <w:ilvl w:val="1"/>
          <w:numId w:val="10"/>
        </w:numPr>
      </w:pPr>
      <w:r>
        <w:rPr>
          <w:rFonts w:ascii="Cambria Bold" w:hAnsi="Cambria Bold"/>
          <w:u w:val="single"/>
          <w:rtl w:val="0"/>
          <w:lang w:val="en-US"/>
        </w:rPr>
        <w:t>Outer Limit Unaffected</w:t>
      </w:r>
      <w:r>
        <w:rPr>
          <w:rtl w:val="0"/>
          <w:lang w:val="en-US"/>
        </w:rPr>
        <w:t>: This Section may only accelerate a distribution. It may not delay any distribution beyond the age selected under Section C, and in no event shall final distribution occur later than age 30.</w:t>
      </w:r>
      <w:bookmarkEnd w:id="25"/>
      <w:bookmarkEnd w:id="24"/>
    </w:p>
    <w:p>
      <w:pPr>
        <w:pStyle w:val="Body"/>
        <w:numPr>
          <w:ilvl w:val="0"/>
          <w:numId w:val="20"/>
        </w:numPr>
        <w:rPr>
          <w:lang w:val="en-US"/>
        </w:rPr>
      </w:pPr>
      <w:r>
        <w:rPr>
          <w:rFonts w:ascii="Cambria Bold" w:hAnsi="Cambria Bold"/>
          <w:u w:val="single"/>
          <w:rtl w:val="0"/>
          <w:lang w:val="en-US"/>
        </w:rPr>
        <w:t>Death of Beneficiary Before Final Distribution:</w:t>
      </w:r>
      <w:r>
        <w:rPr>
          <w:rtl w:val="0"/>
          <w:lang w:val="en-US"/>
        </w:rPr>
        <w:t xml:space="preserve"> If a beneficiary dies before receiving full distribution of his or her share, the remaining balance of that beneficiary</w:t>
      </w:r>
      <w:r>
        <w:rPr>
          <w:rtl w:val="1"/>
        </w:rPr>
        <w:t>’</w:t>
      </w:r>
      <w:r>
        <w:rPr>
          <w:rtl w:val="0"/>
          <w:lang w:val="en-US"/>
        </w:rPr>
        <w:t>s trust shall be distributed to that beneficiary</w:t>
      </w:r>
      <w:r>
        <w:rPr>
          <w:rtl w:val="1"/>
        </w:rPr>
        <w:t>’</w:t>
      </w:r>
      <w:r>
        <w:rPr>
          <w:rtl w:val="0"/>
          <w:lang w:val="en-US"/>
        </w:rPr>
        <w:t>s heirs in accordance with the Islamic Law of Inheritance.</w:t>
      </w:r>
    </w:p>
    <w:p>
      <w:pPr>
        <w:pStyle w:val="Body"/>
        <w:numPr>
          <w:ilvl w:val="0"/>
          <w:numId w:val="20"/>
        </w:numPr>
        <w:rPr>
          <w:lang w:val="en-US"/>
        </w:rPr>
      </w:pPr>
      <w:r>
        <w:rPr>
          <w:rFonts w:ascii="Cambria Bold" w:hAnsi="Cambria Bold"/>
          <w:u w:val="single"/>
          <w:rtl w:val="0"/>
          <w:lang w:val="en-US"/>
        </w:rPr>
        <w:t>Incapacitated Beneficiaries:</w:t>
      </w:r>
      <w:r>
        <w:rPr>
          <w:rtl w:val="0"/>
          <w:lang w:val="en-US"/>
        </w:rPr>
        <w:t xml:space="preserve"> If a beneficiary is incapacitated at the time distribution would otherwise occur, the Trustee may continue to hold the beneficiary</w:t>
      </w:r>
      <w:r>
        <w:rPr>
          <w:rtl w:val="1"/>
        </w:rPr>
        <w:t>’</w:t>
      </w:r>
      <w:r>
        <w:rPr>
          <w:rtl w:val="0"/>
          <w:lang w:val="en-US"/>
        </w:rPr>
        <w:t>s share in trust and administer it for the beneficiary</w:t>
      </w:r>
      <w:r>
        <w:rPr>
          <w:rtl w:val="1"/>
        </w:rPr>
        <w:t>’</w:t>
      </w:r>
      <w:r>
        <w:rPr>
          <w:rtl w:val="0"/>
          <w:lang w:val="en-US"/>
        </w:rPr>
        <w:t>s benefit until capacity is restored or until the beneficiary</w:t>
      </w:r>
      <w:r>
        <w:rPr>
          <w:rtl w:val="1"/>
        </w:rPr>
        <w:t>’</w:t>
      </w:r>
      <w:r>
        <w:rPr>
          <w:rtl w:val="0"/>
          <w:lang w:val="en-US"/>
        </w:rPr>
        <w:t>s death.</w:t>
      </w:r>
    </w:p>
    <w:p>
      <w:pPr>
        <w:pStyle w:val="Body"/>
        <w:numPr>
          <w:ilvl w:val="0"/>
          <w:numId w:val="20"/>
        </w:numPr>
        <w:rPr>
          <w:lang w:val="en-US"/>
        </w:rPr>
      </w:pPr>
      <w:r>
        <w:rPr>
          <w:rFonts w:ascii="Cambria Bold" w:hAnsi="Cambria Bold"/>
          <w:u w:val="single"/>
          <w:rtl w:val="0"/>
          <w:lang w:val="en-US"/>
        </w:rPr>
        <w:t>No Powers of Appointment:</w:t>
      </w:r>
      <w:r>
        <w:rPr>
          <w:rtl w:val="0"/>
          <w:lang w:val="en-US"/>
        </w:rPr>
        <w:t xml:space="preserve"> Beneficiaries shall have no power of appointment over their trust shares unless expressly provided elsewhere in this instrument.</w:t>
      </w:r>
    </w:p>
    <w:p>
      <w:pPr>
        <w:pStyle w:val="Heading"/>
      </w:pPr>
      <w:bookmarkStart w:name="articlefourteen" w:id="26"/>
      <w:r>
        <w:rPr>
          <w:rFonts w:cs="Arial Unicode MS" w:eastAsia="Arial Unicode MS"/>
          <w:rtl w:val="0"/>
          <w:lang w:val="de-DE"/>
        </w:rPr>
        <w:t>ARTICLE FOURTEEN</w:t>
      </w:r>
      <w:bookmarkEnd w:id="26"/>
    </w:p>
    <w:p>
      <w:pPr>
        <w:pStyle w:val="Heading 2"/>
      </w:pPr>
      <w:bookmarkStart w:name="retirementplansandlifeinsurance" w:id="27"/>
      <w:r>
        <w:rPr>
          <w:rFonts w:cs="Arial Unicode MS" w:eastAsia="Arial Unicode MS"/>
          <w:rtl w:val="0"/>
          <w:lang w:val="en-US"/>
        </w:rPr>
        <w:t>Retirement Plans and Life Insurance</w:t>
      </w:r>
    </w:p>
    <w:p>
      <w:pPr>
        <w:pStyle w:val="Reader Note"/>
      </w:pPr>
      <w:r>
        <w:rPr>
          <w:rFonts w:ascii="Cambria Bold" w:hAnsi="Cambria Bold"/>
          <w:i w:val="1"/>
          <w:iCs w:val="1"/>
          <w:rtl w:val="0"/>
          <w:lang w:val="en-US"/>
        </w:rPr>
        <w:t>In plain language.</w:t>
      </w:r>
      <w:r>
        <w:rPr>
          <w:rtl w:val="0"/>
          <w:lang w:val="en-US"/>
        </w:rPr>
        <w:t xml:space="preserve"> Retirement accounts and life insurance do not pass through this Trust unless the beneficiary forms say so. This Article governs them only when they are actually made payable to the Trust.</w:t>
      </w:r>
    </w:p>
    <w:p>
      <w:pPr>
        <w:pStyle w:val="Trustee Note"/>
      </w:pPr>
      <w:r>
        <w:rPr>
          <w:rFonts w:ascii="Cambria Bold" w:hAnsi="Cambria Bold"/>
          <w:i w:val="1"/>
          <w:iCs w:val="1"/>
          <w:rtl w:val="0"/>
          <w:lang w:val="en-US"/>
        </w:rPr>
        <w:t>Note to the Trustee.</w:t>
      </w:r>
      <w:r>
        <w:rPr>
          <w:rtl w:val="0"/>
          <w:lang w:val="en-US"/>
        </w:rPr>
        <w:t xml:space="preserve"> This Article applies only to a retirement account or insurance policy whose beneficiary form actually names the Trust. Check the form first. Retirement accounts carry distribution deadlines and tax consequences that a trust cannot override, and an election made incorrectly usually cannot be undone. Get professional help on these before you act.</w:t>
      </w:r>
    </w:p>
    <w:p>
      <w:pPr>
        <w:pStyle w:val="Compact"/>
        <w:numPr>
          <w:ilvl w:val="0"/>
          <w:numId w:val="78"/>
        </w:numPr>
        <w:rPr>
          <w:lang w:val="en-US"/>
        </w:rPr>
      </w:pPr>
      <w:r>
        <w:rPr>
          <w:rFonts w:ascii="Cambria Bold" w:hAnsi="Cambria Bold"/>
          <w:u w:val="single"/>
          <w:rtl w:val="0"/>
          <w:lang w:val="en-US"/>
        </w:rPr>
        <w:t>Retirement Plans:</w:t>
      </w:r>
      <w:r>
        <w:rPr>
          <w:rtl w:val="0"/>
          <w:lang w:val="en-US"/>
        </w:rPr>
        <w:t xml:space="preserve"> This Article applies to any qualified retirement plan, IRA, annuity, or similar tax-favored account payable to this Trust.</w:t>
      </w:r>
    </w:p>
    <w:p>
      <w:pPr>
        <w:pStyle w:val="First Paragraph"/>
      </w:pPr>
      <w:r>
        <w:rPr>
          <w:rtl w:val="0"/>
          <w:lang w:val="en-US"/>
        </w:rPr>
        <w:t>The Trustee may:</w:t>
      </w:r>
    </w:p>
    <w:p>
      <w:pPr>
        <w:pStyle w:val="Body"/>
        <w:numPr>
          <w:ilvl w:val="0"/>
          <w:numId w:val="79"/>
        </w:numPr>
        <w:rPr>
          <w:lang w:val="en-US"/>
        </w:rPr>
      </w:pPr>
      <w:r>
        <w:rPr>
          <w:rtl w:val="0"/>
          <w:lang w:val="en-US"/>
        </w:rPr>
        <w:t>Collect all retirement benefits payable to the Trust;</w:t>
      </w:r>
    </w:p>
    <w:p>
      <w:pPr>
        <w:pStyle w:val="Body"/>
        <w:numPr>
          <w:ilvl w:val="0"/>
          <w:numId w:val="66"/>
        </w:numPr>
        <w:rPr>
          <w:lang w:val="en-US"/>
        </w:rPr>
      </w:pPr>
      <w:r>
        <w:rPr>
          <w:rtl w:val="0"/>
          <w:lang w:val="en-US"/>
        </w:rPr>
        <w:t>Make any elections permitted under applicable law;</w:t>
      </w:r>
    </w:p>
    <w:p>
      <w:pPr>
        <w:pStyle w:val="Body"/>
        <w:numPr>
          <w:ilvl w:val="0"/>
          <w:numId w:val="66"/>
        </w:numPr>
        <w:rPr>
          <w:lang w:val="en-US"/>
        </w:rPr>
      </w:pPr>
      <w:r>
        <w:rPr>
          <w:rtl w:val="0"/>
          <w:lang w:val="en-US"/>
        </w:rPr>
        <w:t>Determine the timing and manner of distributions consistent with required minimum distribution rules;</w:t>
      </w:r>
    </w:p>
    <w:p>
      <w:pPr>
        <w:pStyle w:val="Body"/>
        <w:numPr>
          <w:ilvl w:val="0"/>
          <w:numId w:val="66"/>
        </w:numPr>
        <w:rPr>
          <w:lang w:val="en-US"/>
        </w:rPr>
      </w:pPr>
      <w:r>
        <w:rPr>
          <w:rtl w:val="0"/>
          <w:lang w:val="en-US"/>
        </w:rPr>
        <w:t>Make a qualified disclaimer of retirement benefits if advisable.</w:t>
      </w:r>
    </w:p>
    <w:p>
      <w:pPr>
        <w:pStyle w:val="Block Text"/>
      </w:pPr>
      <w:r>
        <w:rPr>
          <w:rtl w:val="0"/>
          <w:lang w:val="en-US"/>
        </w:rPr>
        <w:t>The Trustee may not change or designate beneficiaries under any retirement plan.</w:t>
      </w:r>
    </w:p>
    <w:p>
      <w:pPr>
        <w:pStyle w:val="Block Text"/>
      </w:pPr>
      <w:r>
        <w:rPr>
          <w:rtl w:val="0"/>
          <w:lang w:val="en-US"/>
        </w:rPr>
        <w:t>The Trustee shall administer retirement benefits in compliance with applicable federal law, including Internal Revenue Code Section 401(a)(9) and any successor provisions.</w:t>
      </w:r>
    </w:p>
    <w:p>
      <w:pPr>
        <w:pStyle w:val="Block Text"/>
      </w:pPr>
      <w:r>
        <w:rPr>
          <w:rtl w:val="0"/>
          <w:lang w:val="en-US"/>
        </w:rPr>
        <w:t>The Trustee shall not be liable to any beneficiary for good-faith decisions regarding retirement distribution elections.</w:t>
      </w:r>
    </w:p>
    <w:p>
      <w:pPr>
        <w:pStyle w:val="Body"/>
        <w:numPr>
          <w:ilvl w:val="0"/>
          <w:numId w:val="80"/>
        </w:numPr>
        <w:rPr>
          <w:lang w:val="en-US"/>
        </w:rPr>
      </w:pPr>
      <w:r>
        <w:rPr>
          <w:rFonts w:ascii="Cambria Bold" w:hAnsi="Cambria Bold"/>
          <w:u w:val="single"/>
          <w:rtl w:val="0"/>
          <w:lang w:val="en-US"/>
        </w:rPr>
        <w:t>Retirement Benefits Payable to the Surviving Spouse:</w:t>
      </w:r>
      <w:r>
        <w:rPr>
          <w:rtl w:val="0"/>
          <w:lang w:val="en-US"/>
        </w:rPr>
        <w:t xml:space="preserve"> If retirement benefits become payable to the Survivor</w:t>
      </w:r>
      <w:r>
        <w:rPr>
          <w:rtl w:val="1"/>
        </w:rPr>
        <w:t>’</w:t>
      </w:r>
      <w:r>
        <w:rPr>
          <w:rtl w:val="0"/>
          <w:lang w:val="en-US"/>
        </w:rPr>
        <w:t>s Trust and the surviving spouse is entitled to receive them directly under applicable law, the Trustee shall, upon request of the surviving spouse, facilitate:</w:t>
      </w:r>
    </w:p>
    <w:p>
      <w:pPr>
        <w:pStyle w:val="Body"/>
        <w:numPr>
          <w:ilvl w:val="1"/>
          <w:numId w:val="66"/>
        </w:numPr>
        <w:rPr>
          <w:lang w:val="en-US"/>
        </w:rPr>
      </w:pPr>
      <w:r>
        <w:rPr>
          <w:rtl w:val="0"/>
          <w:lang w:val="en-US"/>
        </w:rPr>
        <w:t>Direct distribution to the surviving spouse; or</w:t>
      </w:r>
    </w:p>
    <w:p>
      <w:pPr>
        <w:pStyle w:val="Body"/>
        <w:numPr>
          <w:ilvl w:val="1"/>
          <w:numId w:val="66"/>
        </w:numPr>
        <w:rPr>
          <w:lang w:val="en-US"/>
        </w:rPr>
      </w:pPr>
      <w:r>
        <w:rPr>
          <w:rtl w:val="0"/>
          <w:lang w:val="en-US"/>
        </w:rPr>
        <w:t>Direct rollover into an account in the surviving spouse</w:t>
      </w:r>
      <w:r>
        <w:rPr>
          <w:rtl w:val="1"/>
        </w:rPr>
        <w:t>’</w:t>
      </w:r>
      <w:r>
        <w:rPr>
          <w:rtl w:val="0"/>
          <w:lang w:val="en-US"/>
        </w:rPr>
        <w:t>s name, if permitted by law.</w:t>
      </w:r>
    </w:p>
    <w:p>
      <w:pPr>
        <w:pStyle w:val="Body"/>
        <w:numPr>
          <w:ilvl w:val="0"/>
          <w:numId w:val="81"/>
        </w:numPr>
        <w:rPr>
          <w:lang w:val="en-US"/>
        </w:rPr>
      </w:pPr>
      <w:r>
        <w:rPr>
          <w:rFonts w:ascii="Cambria Bold" w:hAnsi="Cambria Bold"/>
          <w:u w:val="single"/>
          <w:rtl w:val="0"/>
          <w:lang w:val="en-US"/>
        </w:rPr>
        <w:t>Life Insurance:</w:t>
      </w:r>
      <w:r>
        <w:rPr>
          <w:rtl w:val="0"/>
          <w:lang w:val="en-US"/>
        </w:rPr>
        <w:t xml:space="preserve"> During lifetime, each Grantor retains all ownership rights in any life insurance policy owned by or payable to the Trust, including:</w:t>
      </w:r>
    </w:p>
    <w:p>
      <w:pPr>
        <w:pStyle w:val="Body"/>
        <w:numPr>
          <w:ilvl w:val="1"/>
          <w:numId w:val="82"/>
        </w:numPr>
        <w:rPr>
          <w:lang w:val="en-US"/>
        </w:rPr>
      </w:pPr>
      <w:r>
        <w:rPr>
          <w:rtl w:val="0"/>
          <w:lang w:val="en-US"/>
        </w:rPr>
        <w:t>The right to change beneficiaries;</w:t>
      </w:r>
    </w:p>
    <w:p>
      <w:pPr>
        <w:pStyle w:val="Body"/>
        <w:numPr>
          <w:ilvl w:val="1"/>
          <w:numId w:val="66"/>
        </w:numPr>
        <w:rPr>
          <w:lang w:val="en-US"/>
        </w:rPr>
      </w:pPr>
      <w:r>
        <w:rPr>
          <w:rtl w:val="0"/>
          <w:lang w:val="en-US"/>
        </w:rPr>
        <w:t>The right to borrow against or surrender the policy;</w:t>
      </w:r>
    </w:p>
    <w:p>
      <w:pPr>
        <w:pStyle w:val="Body"/>
        <w:numPr>
          <w:ilvl w:val="1"/>
          <w:numId w:val="66"/>
        </w:numPr>
        <w:rPr>
          <w:lang w:val="en-US"/>
        </w:rPr>
      </w:pPr>
      <w:r>
        <w:rPr>
          <w:rtl w:val="0"/>
          <w:lang w:val="en-US"/>
        </w:rPr>
        <w:t>The right to make elections under the policy.</w:t>
      </w:r>
    </w:p>
    <w:p>
      <w:pPr>
        <w:pStyle w:val="Block Text"/>
      </w:pPr>
      <w:r>
        <w:rPr>
          <w:rtl w:val="0"/>
          <w:lang w:val="en-US"/>
        </w:rPr>
        <w:t>The Trustee has no duty to pay premiums.</w:t>
      </w:r>
    </w:p>
    <w:p>
      <w:pPr>
        <w:pStyle w:val="Block Text"/>
      </w:pPr>
      <w:r>
        <w:rPr>
          <w:rtl w:val="0"/>
          <w:lang w:val="en-US"/>
        </w:rPr>
        <w:t>After a Grantor</w:t>
      </w:r>
      <w:r>
        <w:rPr>
          <w:rtl w:val="0"/>
          <w:lang w:val="en-US"/>
        </w:rPr>
        <w:t>’</w:t>
      </w:r>
      <w:r>
        <w:rPr>
          <w:rtl w:val="0"/>
          <w:lang w:val="en-US"/>
        </w:rPr>
        <w:t>s death, the Trustee may collect all policy proceeds and exercise settlement options permitted under the policy.</w:t>
      </w:r>
    </w:p>
    <w:p>
      <w:pPr>
        <w:pStyle w:val="Block Text"/>
      </w:pPr>
      <w:r>
        <w:rPr>
          <w:rtl w:val="0"/>
          <w:lang w:val="en-US"/>
        </w:rPr>
        <w:t>No beneficiary may hold the Trustee liable for any good-faith election made regarding policy proceeds.</w:t>
      </w:r>
    </w:p>
    <w:p>
      <w:pPr>
        <w:pStyle w:val="Compact"/>
        <w:numPr>
          <w:ilvl w:val="0"/>
          <w:numId w:val="83"/>
        </w:numPr>
        <w:rPr>
          <w:lang w:val="en-US"/>
        </w:rPr>
      </w:pPr>
      <w:r>
        <w:rPr>
          <w:rFonts w:ascii="Cambria Bold" w:hAnsi="Cambria Bold"/>
          <w:u w:val="single"/>
          <w:rtl w:val="0"/>
          <w:lang w:val="en-US"/>
        </w:rPr>
        <w:t>Third-Party Protection:</w:t>
      </w:r>
      <w:r>
        <w:rPr>
          <w:rtl w:val="0"/>
          <w:lang w:val="en-US"/>
        </w:rPr>
        <w:t xml:space="preserve"> Any person or entity paying benefits to the Trustee in good faith shall not be required to inquire into the Trustee</w:t>
      </w:r>
      <w:r>
        <w:rPr>
          <w:rtl w:val="0"/>
          <w:lang w:val="en-US"/>
        </w:rPr>
        <w:t>’</w:t>
      </w:r>
      <w:r>
        <w:rPr>
          <w:rtl w:val="0"/>
          <w:lang w:val="en-US"/>
        </w:rPr>
        <w:t>s authority or the application of proceeds.</w:t>
      </w:r>
    </w:p>
    <w:p>
      <w:pPr>
        <w:pStyle w:val="Block Text"/>
      </w:pPr>
      <w:r>
        <w:rPr>
          <w:rtl w:val="0"/>
          <w:lang w:val="en-US"/>
        </w:rPr>
        <w:t>A receipt signed by the Trustee shall fully discharge the payor.</w:t>
      </w:r>
    </w:p>
    <w:p>
      <w:pPr>
        <w:pStyle w:val="Compact"/>
        <w:numPr>
          <w:ilvl w:val="0"/>
          <w:numId w:val="84"/>
        </w:numPr>
        <w:rPr>
          <w:lang w:val="en-US"/>
        </w:rPr>
      </w:pPr>
      <w:r>
        <w:rPr>
          <w:rFonts w:ascii="Cambria Bold" w:hAnsi="Cambria Bold"/>
          <w:u w:val="single"/>
          <w:rtl w:val="0"/>
          <w:lang w:val="en-US"/>
        </w:rPr>
        <w:t>No Obligation to Maintain Policies:</w:t>
      </w:r>
      <w:r>
        <w:rPr>
          <w:rtl w:val="0"/>
          <w:lang w:val="en-US"/>
        </w:rPr>
        <w:t xml:space="preserve"> Nothing in this Trust requires either Grantor or the Trustee to purchase, maintain, or continue any retirement plan or life insurance policy.</w:t>
      </w:r>
      <w:bookmarkEnd w:id="27"/>
    </w:p>
    <w:p>
      <w:pPr>
        <w:pStyle w:val="Heading"/>
      </w:pPr>
      <w:bookmarkStart w:name="articlefifteen" w:id="28"/>
      <w:r>
        <w:rPr>
          <w:rFonts w:cs="Arial Unicode MS" w:eastAsia="Arial Unicode MS"/>
          <w:rtl w:val="0"/>
          <w:lang w:val="de-DE"/>
        </w:rPr>
        <w:t>ARTICLE FIFTEEN</w:t>
      </w:r>
      <w:bookmarkEnd w:id="28"/>
    </w:p>
    <w:p>
      <w:pPr>
        <w:pStyle w:val="Heading 2"/>
      </w:pPr>
      <w:bookmarkStart w:name="trustadministrationandtrusteepowers" w:id="29"/>
      <w:r>
        <w:rPr>
          <w:rFonts w:cs="Arial Unicode MS" w:eastAsia="Arial Unicode MS"/>
          <w:rtl w:val="0"/>
          <w:lang w:val="en-US"/>
        </w:rPr>
        <w:t>Trust Administration and Trustee Powers</w:t>
      </w:r>
    </w:p>
    <w:p>
      <w:pPr>
        <w:pStyle w:val="Reader Note"/>
      </w:pPr>
      <w:r>
        <w:rPr>
          <w:rFonts w:ascii="Cambria Bold" w:hAnsi="Cambria Bold"/>
          <w:i w:val="1"/>
          <w:iCs w:val="1"/>
          <w:rtl w:val="0"/>
          <w:lang w:val="en-US"/>
        </w:rPr>
        <w:t>In plain language.</w:t>
      </w:r>
      <w:r>
        <w:rPr>
          <w:rtl w:val="0"/>
          <w:lang w:val="en-US"/>
        </w:rPr>
        <w:t xml:space="preserve"> This Article is the Trustee</w:t>
      </w:r>
      <w:r>
        <w:rPr>
          <w:rtl w:val="0"/>
          <w:lang w:val="en-US"/>
        </w:rPr>
        <w:t>’</w:t>
      </w:r>
      <w:r>
        <w:rPr>
          <w:rtl w:val="0"/>
          <w:lang w:val="en-US"/>
        </w:rPr>
        <w:t>s toolkit: authority to manage, invest, sell, distribute, hire help, and keep records, all without court supervision.</w:t>
      </w:r>
    </w:p>
    <w:p>
      <w:pPr>
        <w:pStyle w:val="Body"/>
        <w:numPr>
          <w:ilvl w:val="0"/>
          <w:numId w:val="85"/>
        </w:numPr>
        <w:rPr>
          <w:lang w:val="en-US"/>
        </w:rPr>
      </w:pPr>
      <w:r>
        <w:rPr>
          <w:rFonts w:ascii="Cambria Bold" w:hAnsi="Cambria Bold"/>
          <w:u w:val="single"/>
          <w:rtl w:val="0"/>
          <w:lang w:val="en-US"/>
        </w:rPr>
        <w:t>Governing Law:</w:t>
      </w:r>
      <w:r>
        <w:rPr>
          <w:rtl w:val="0"/>
          <w:lang w:val="en-US"/>
        </w:rPr>
        <w:t xml:space="preserve"> This Trust shall be governed by the laws of the State of Texas, except to the extent mandatory law provides otherwise.</w:t>
      </w:r>
    </w:p>
    <w:p>
      <w:pPr>
        <w:pStyle w:val="Body"/>
        <w:numPr>
          <w:ilvl w:val="0"/>
          <w:numId w:val="2"/>
        </w:numPr>
        <w:rPr>
          <w:lang w:val="en-US"/>
        </w:rPr>
      </w:pPr>
      <w:r>
        <w:rPr>
          <w:rFonts w:ascii="Cambria Bold" w:hAnsi="Cambria Bold"/>
          <w:u w:val="single"/>
          <w:rtl w:val="0"/>
          <w:lang w:val="en-US"/>
        </w:rPr>
        <w:t>No Court Supervision; Bond Waiver:</w:t>
      </w:r>
      <w:r>
        <w:rPr>
          <w:rtl w:val="0"/>
          <w:lang w:val="en-US"/>
        </w:rPr>
        <w:t xml:space="preserve"> This Trust shall be administered without court supervision unless required by law. No Trustee shall be required to post bond.</w:t>
      </w:r>
    </w:p>
    <w:p>
      <w:pPr>
        <w:pStyle w:val="Body"/>
        <w:numPr>
          <w:ilvl w:val="0"/>
          <w:numId w:val="2"/>
        </w:numPr>
        <w:rPr>
          <w:lang w:val="en-US"/>
        </w:rPr>
      </w:pPr>
      <w:r>
        <w:rPr>
          <w:rFonts w:ascii="Cambria Bold" w:hAnsi="Cambria Bold"/>
          <w:u w:val="single"/>
          <w:rtl w:val="0"/>
          <w:lang w:val="en-US"/>
        </w:rPr>
        <w:t>Distribution Authority:</w:t>
      </w:r>
      <w:r>
        <w:rPr>
          <w:rtl w:val="0"/>
          <w:lang w:val="en-US"/>
        </w:rPr>
        <w:t xml:space="preserve"> Whenever the Trustee is authorized to make a distribution, the Trustee may distribute property directly to the beneficiary or apply it for the beneficiary</w:t>
      </w:r>
      <w:r>
        <w:rPr>
          <w:rtl w:val="1"/>
        </w:rPr>
        <w:t>’</w:t>
      </w:r>
      <w:r>
        <w:rPr>
          <w:rtl w:val="0"/>
          <w:lang w:val="en-US"/>
        </w:rPr>
        <w:t>s benefit.</w:t>
      </w:r>
    </w:p>
    <w:p>
      <w:pPr>
        <w:pStyle w:val="Block Text"/>
      </w:pPr>
      <w:r>
        <w:rPr>
          <w:rtl w:val="0"/>
          <w:lang w:val="en-US"/>
        </w:rPr>
        <w:t>The Trustee has no duty to monitor the beneficiary</w:t>
      </w:r>
      <w:r>
        <w:rPr>
          <w:rtl w:val="0"/>
          <w:lang w:val="en-US"/>
        </w:rPr>
        <w:t>’</w:t>
      </w:r>
      <w:r>
        <w:rPr>
          <w:rtl w:val="0"/>
          <w:lang w:val="en-US"/>
        </w:rPr>
        <w:t>s use of distributed property.</w:t>
      </w:r>
    </w:p>
    <w:p>
      <w:pPr>
        <w:pStyle w:val="Body"/>
        <w:numPr>
          <w:ilvl w:val="0"/>
          <w:numId w:val="86"/>
        </w:numPr>
        <w:rPr>
          <w:lang w:val="en-US"/>
        </w:rPr>
      </w:pPr>
      <w:r>
        <w:rPr>
          <w:rFonts w:ascii="Cambria Bold" w:hAnsi="Cambria Bold"/>
          <w:u w:val="single"/>
          <w:rtl w:val="0"/>
          <w:lang w:val="en-US"/>
        </w:rPr>
        <w:t>Reliance on Information</w:t>
      </w:r>
      <w:r>
        <w:rPr>
          <w:u w:val="single"/>
          <w:rtl w:val="0"/>
        </w:rPr>
        <w:t>:</w:t>
      </w:r>
      <w:r>
        <w:rPr>
          <w:rtl w:val="0"/>
          <w:lang w:val="en-US"/>
        </w:rPr>
        <w:t xml:space="preserve"> The Trustee may rely in good faith on written information provided by beneficiaries, advisors, or third parties and shall not be liable for acting or failing to act without notice of relevant events.</w:t>
      </w:r>
    </w:p>
    <w:p>
      <w:pPr>
        <w:pStyle w:val="Body"/>
        <w:numPr>
          <w:ilvl w:val="0"/>
          <w:numId w:val="20"/>
        </w:numPr>
        <w:rPr>
          <w:lang w:val="en-US"/>
        </w:rPr>
      </w:pPr>
      <w:r>
        <w:rPr>
          <w:rFonts w:ascii="Cambria Bold" w:hAnsi="Cambria Bold"/>
          <w:u w:val="single"/>
          <w:rtl w:val="0"/>
          <w:lang w:val="en-US"/>
        </w:rPr>
        <w:t>Delegation:</w:t>
      </w:r>
      <w:r>
        <w:rPr>
          <w:rtl w:val="0"/>
          <w:lang w:val="en-US"/>
        </w:rPr>
        <w:t xml:space="preserve"> The Trustee may delegate investment, administrative, or professional functions to qualified agents and may rely on such agents in good faith</w:t>
      </w:r>
    </w:p>
    <w:p>
      <w:pPr>
        <w:pStyle w:val="Body"/>
        <w:numPr>
          <w:ilvl w:val="0"/>
          <w:numId w:val="20"/>
        </w:numPr>
        <w:rPr>
          <w:lang w:val="en-US"/>
        </w:rPr>
      </w:pPr>
      <w:r>
        <w:rPr>
          <w:rFonts w:ascii="Cambria Bold" w:hAnsi="Cambria Bold"/>
          <w:u w:val="single"/>
          <w:rtl w:val="0"/>
          <w:lang w:val="en-US"/>
        </w:rPr>
        <w:t>Trustee Protection:</w:t>
      </w:r>
      <w:r>
        <w:rPr>
          <w:rtl w:val="0"/>
          <w:lang w:val="en-US"/>
        </w:rPr>
        <w:t xml:space="preserve"> No Trustee shall be liable for any act or omission taken in good faith and without willful misconduct.</w:t>
      </w:r>
    </w:p>
    <w:p>
      <w:pPr>
        <w:pStyle w:val="Block Text"/>
      </w:pPr>
      <w:r>
        <w:rPr>
          <w:rtl w:val="0"/>
          <w:lang w:val="en-US"/>
        </w:rPr>
        <w:t>Successor Trustees are not liable for the acts of prior Trustees.</w:t>
      </w:r>
    </w:p>
    <w:p>
      <w:pPr>
        <w:pStyle w:val="Body"/>
        <w:numPr>
          <w:ilvl w:val="0"/>
          <w:numId w:val="87"/>
        </w:numPr>
        <w:rPr>
          <w:lang w:val="en-US"/>
        </w:rPr>
      </w:pPr>
      <w:r>
        <w:rPr>
          <w:rFonts w:ascii="Cambria Bold" w:hAnsi="Cambria Bold"/>
          <w:u w:val="single"/>
          <w:rtl w:val="0"/>
          <w:lang w:val="en-US"/>
        </w:rPr>
        <w:t>Self-Dealing:</w:t>
      </w:r>
      <w:r>
        <w:rPr>
          <w:rtl w:val="0"/>
          <w:lang w:val="en-US"/>
        </w:rPr>
        <w:t xml:space="preserve"> A Trustee who is also a beneficiary may engage in transactions involving trust property only if:</w:t>
      </w:r>
    </w:p>
    <w:p>
      <w:pPr>
        <w:pStyle w:val="Body"/>
        <w:numPr>
          <w:ilvl w:val="1"/>
          <w:numId w:val="89"/>
        </w:numPr>
        <w:rPr>
          <w:lang w:val="en-US"/>
        </w:rPr>
      </w:pPr>
      <w:r>
        <w:rPr>
          <w:rtl w:val="0"/>
          <w:lang w:val="en-US"/>
        </w:rPr>
        <w:t>The transaction is for fair market value;</w:t>
      </w:r>
    </w:p>
    <w:p>
      <w:pPr>
        <w:pStyle w:val="Body"/>
        <w:numPr>
          <w:ilvl w:val="1"/>
          <w:numId w:val="89"/>
        </w:numPr>
        <w:rPr>
          <w:lang w:val="en-US"/>
        </w:rPr>
      </w:pPr>
      <w:r>
        <w:rPr>
          <w:rtl w:val="0"/>
          <w:lang w:val="en-US"/>
        </w:rPr>
        <w:t>The terms are commercially reasonable; and</w:t>
      </w:r>
    </w:p>
    <w:p>
      <w:pPr>
        <w:pStyle w:val="Body"/>
        <w:numPr>
          <w:ilvl w:val="1"/>
          <w:numId w:val="89"/>
        </w:numPr>
        <w:rPr>
          <w:lang w:val="en-US"/>
        </w:rPr>
      </w:pPr>
      <w:r>
        <w:rPr>
          <w:rtl w:val="0"/>
          <w:lang w:val="en-US"/>
        </w:rPr>
        <w:t>All other adult beneficiaries consent in writing.</w:t>
      </w:r>
    </w:p>
    <w:p>
      <w:pPr>
        <w:pStyle w:val="First Paragraph"/>
      </w:pPr>
      <w:r>
        <w:rPr>
          <w:rtl w:val="0"/>
          <w:lang w:val="en-US"/>
        </w:rPr>
        <w:t>All duties of loyalty and impartiality remain applicable.</w:t>
      </w:r>
    </w:p>
    <w:p>
      <w:pPr>
        <w:pStyle w:val="Body"/>
        <w:numPr>
          <w:ilvl w:val="0"/>
          <w:numId w:val="92"/>
        </w:numPr>
        <w:rPr>
          <w:lang w:val="fr-FR"/>
        </w:rPr>
      </w:pPr>
      <w:r>
        <w:rPr>
          <w:rFonts w:ascii="Cambria Bold" w:hAnsi="Cambria Bold"/>
          <w:u w:val="single"/>
          <w:rtl w:val="0"/>
          <w:lang w:val="fr-FR"/>
        </w:rPr>
        <w:t>Compensation:</w:t>
      </w:r>
      <w:r>
        <w:rPr>
          <w:rtl w:val="0"/>
          <w:lang w:val="en-US"/>
        </w:rPr>
        <w:t xml:space="preserve"> A Trustee other than a Grantor is entitled to reasonable compensation and reimbursement for reasonable expenses.</w:t>
      </w:r>
    </w:p>
    <w:p>
      <w:pPr>
        <w:pStyle w:val="Body"/>
        <w:numPr>
          <w:ilvl w:val="0"/>
          <w:numId w:val="91"/>
        </w:numPr>
        <w:rPr>
          <w:lang w:val="en-US"/>
        </w:rPr>
      </w:pPr>
      <w:r>
        <w:rPr>
          <w:rFonts w:ascii="Cambria Bold" w:hAnsi="Cambria Bold"/>
          <w:u w:val="single"/>
          <w:rtl w:val="0"/>
          <w:lang w:val="en-US"/>
        </w:rPr>
        <w:t>Principal and Income</w:t>
      </w:r>
      <w:r>
        <w:rPr>
          <w:rtl w:val="0"/>
          <w:lang w:val="en-US"/>
        </w:rPr>
        <w:t>: The Texas Uniform Principal and Income Act shall govern allocations between principal and income unless otherwise provided.</w:t>
      </w:r>
    </w:p>
    <w:p>
      <w:pPr>
        <w:pStyle w:val="Body"/>
        <w:numPr>
          <w:ilvl w:val="0"/>
          <w:numId w:val="91"/>
        </w:numPr>
        <w:rPr>
          <w:lang w:val="en-US"/>
        </w:rPr>
      </w:pPr>
      <w:r>
        <w:rPr>
          <w:rFonts w:ascii="Cambria Bold" w:hAnsi="Cambria Bold"/>
          <w:u w:val="single"/>
          <w:rtl w:val="0"/>
          <w:lang w:val="en-US"/>
        </w:rPr>
        <w:t>Authority to Merge, Sever, or Terminate:</w:t>
      </w:r>
      <w:r>
        <w:rPr>
          <w:rtl w:val="0"/>
          <w:lang w:val="en-US"/>
        </w:rPr>
        <w:t xml:space="preserve"> The Trustee may:</w:t>
      </w:r>
    </w:p>
    <w:p>
      <w:pPr>
        <w:pStyle w:val="Body"/>
        <w:numPr>
          <w:ilvl w:val="1"/>
          <w:numId w:val="93"/>
        </w:numPr>
        <w:rPr>
          <w:lang w:val="en-US"/>
        </w:rPr>
      </w:pPr>
      <w:r>
        <w:rPr>
          <w:rtl w:val="0"/>
          <w:lang w:val="en-US"/>
        </w:rPr>
        <w:t>Merge trusts with substantially identical terms;</w:t>
      </w:r>
    </w:p>
    <w:p>
      <w:pPr>
        <w:pStyle w:val="Body"/>
        <w:numPr>
          <w:ilvl w:val="1"/>
          <w:numId w:val="89"/>
        </w:numPr>
        <w:rPr>
          <w:lang w:val="en-US"/>
        </w:rPr>
      </w:pPr>
      <w:r>
        <w:rPr>
          <w:rtl w:val="0"/>
          <w:lang w:val="en-US"/>
        </w:rPr>
        <w:t>Sever trusts into separate shares;</w:t>
      </w:r>
    </w:p>
    <w:p>
      <w:pPr>
        <w:pStyle w:val="Body"/>
        <w:numPr>
          <w:ilvl w:val="1"/>
          <w:numId w:val="89"/>
        </w:numPr>
        <w:rPr>
          <w:lang w:val="en-US"/>
        </w:rPr>
      </w:pPr>
      <w:r>
        <w:rPr>
          <w:rtl w:val="0"/>
          <w:lang w:val="en-US"/>
        </w:rPr>
        <w:t>Terminate any trust that is uneconomical to administer and distribute assets to the beneficiary entitled to receive them.</w:t>
      </w:r>
    </w:p>
    <w:p>
      <w:pPr>
        <w:pStyle w:val="Body"/>
        <w:numPr>
          <w:ilvl w:val="0"/>
          <w:numId w:val="94"/>
        </w:numPr>
        <w:rPr>
          <w:lang w:val="en-US"/>
        </w:rPr>
      </w:pPr>
      <w:r>
        <w:rPr>
          <w:rFonts w:ascii="Cambria Bold" w:hAnsi="Cambria Bold"/>
          <w:u w:val="single"/>
          <w:rtl w:val="0"/>
          <w:lang w:val="en-US"/>
        </w:rPr>
        <w:t>Reports:</w:t>
      </w:r>
      <w:r>
        <w:rPr>
          <w:rtl w:val="0"/>
          <w:lang w:val="en-US"/>
        </w:rPr>
        <w:t xml:space="preserve"> If neither Grantor is serving as Trustee, the Trustee shall provide annual written reports to the primary beneficiary unless waived in writing.</w:t>
      </w:r>
    </w:p>
    <w:p>
      <w:pPr>
        <w:pStyle w:val="Block Text"/>
      </w:pPr>
      <w:r>
        <w:rPr>
          <w:rtl w:val="0"/>
          <w:lang w:val="en-US"/>
        </w:rPr>
        <w:t>Delivery of a fiduciary income tax return satisfies this requirement.</w:t>
      </w:r>
    </w:p>
    <w:p>
      <w:pPr>
        <w:pStyle w:val="Compact"/>
        <w:numPr>
          <w:ilvl w:val="0"/>
          <w:numId w:val="97"/>
        </w:numPr>
        <w:rPr>
          <w:lang w:val="en-US"/>
        </w:rPr>
      </w:pPr>
      <w:r>
        <w:rPr>
          <w:rFonts w:ascii="Cambria Bold" w:hAnsi="Cambria Bold"/>
          <w:u w:val="single"/>
          <w:rtl w:val="0"/>
          <w:lang w:val="en-US"/>
        </w:rPr>
        <w:t>Statutory Powers:</w:t>
      </w:r>
      <w:r>
        <w:rPr>
          <w:rtl w:val="0"/>
          <w:lang w:val="en-US"/>
        </w:rPr>
        <w:t xml:space="preserve"> The Trustee shall have all powers granted under the Texas Trust Code and any successor statutes.</w:t>
      </w:r>
      <w:bookmarkEnd w:id="29"/>
    </w:p>
    <w:p>
      <w:pPr>
        <w:pStyle w:val="Heading"/>
      </w:pPr>
      <w:bookmarkStart w:name="articlesixteen" w:id="30"/>
      <w:r>
        <w:rPr>
          <w:rFonts w:cs="Arial Unicode MS" w:eastAsia="Arial Unicode MS"/>
          <w:rtl w:val="0"/>
          <w:lang w:val="de-DE"/>
        </w:rPr>
        <w:t>ARTICLE SIXTEEN</w:t>
      </w:r>
      <w:bookmarkEnd w:id="30"/>
    </w:p>
    <w:p>
      <w:pPr>
        <w:pStyle w:val="Heading 2"/>
      </w:pPr>
      <w:bookmarkStart w:name="generalprovisions" w:id="31"/>
      <w:r>
        <w:rPr>
          <w:rFonts w:cs="Arial Unicode MS" w:eastAsia="Arial Unicode MS"/>
          <w:rtl w:val="0"/>
          <w:lang w:val="en-US"/>
        </w:rPr>
        <w:t>General Provisions</w:t>
      </w:r>
    </w:p>
    <w:p>
      <w:pPr>
        <w:pStyle w:val="Reader Note"/>
      </w:pPr>
      <w:r>
        <w:rPr>
          <w:rFonts w:ascii="Cambria Bold" w:hAnsi="Cambria Bold"/>
          <w:i w:val="1"/>
          <w:iCs w:val="1"/>
          <w:rtl w:val="0"/>
          <w:lang w:val="en-US"/>
        </w:rPr>
        <w:t>In plain language.</w:t>
      </w:r>
      <w:r>
        <w:rPr>
          <w:rtl w:val="0"/>
          <w:lang w:val="en-US"/>
        </w:rPr>
        <w:t xml:space="preserve"> The closing rules. A beneficiary</w:t>
      </w:r>
      <w:r>
        <w:rPr>
          <w:rtl w:val="0"/>
          <w:lang w:val="en-US"/>
        </w:rPr>
        <w:t>’</w:t>
      </w:r>
      <w:r>
        <w:rPr>
          <w:rtl w:val="0"/>
          <w:lang w:val="en-US"/>
        </w:rPr>
        <w:t>s creditors cannot reach a share before it is received, anyone who sues to break the Trust forfeits their own share, and the remaining mechanical provisions are set out here.</w:t>
      </w:r>
    </w:p>
    <w:p>
      <w:pPr>
        <w:pStyle w:val="Body"/>
        <w:numPr>
          <w:ilvl w:val="0"/>
          <w:numId w:val="98"/>
        </w:numPr>
        <w:rPr>
          <w:lang w:val="en-US"/>
        </w:rPr>
      </w:pPr>
      <w:r>
        <w:rPr>
          <w:rFonts w:ascii="Cambria Bold" w:hAnsi="Cambria Bold"/>
          <w:u w:val="single"/>
          <w:rtl w:val="0"/>
          <w:lang w:val="en-US"/>
        </w:rPr>
        <w:t>Spendthrift Protection:</w:t>
      </w:r>
      <w:r>
        <w:rPr>
          <w:rtl w:val="0"/>
          <w:lang w:val="en-US"/>
        </w:rPr>
        <w:t xml:space="preserve"> No beneficiary may assign, anticipate, encumber, alienate, or otherwise voluntarily transfer any interest in income or principal held in trust. No such interest is subject to attachment, garnishment, bankruptcy proceedings, or other legal process before actual receipt by the beneficiary. This provision does not restrict a beneficiary</w:t>
      </w:r>
      <w:r>
        <w:rPr>
          <w:rtl w:val="1"/>
        </w:rPr>
        <w:t>’</w:t>
      </w:r>
      <w:r>
        <w:rPr>
          <w:rtl w:val="0"/>
          <w:lang w:val="en-US"/>
        </w:rPr>
        <w:t>s right to disclaim an interest.</w:t>
      </w:r>
    </w:p>
    <w:p>
      <w:pPr>
        <w:pStyle w:val="Body"/>
        <w:numPr>
          <w:ilvl w:val="0"/>
          <w:numId w:val="2"/>
        </w:numPr>
        <w:rPr>
          <w:lang w:val="da-DK"/>
        </w:rPr>
      </w:pPr>
      <w:r>
        <w:rPr>
          <w:rFonts w:ascii="Cambria Bold" w:hAnsi="Cambria Bold"/>
          <w:u w:val="single"/>
          <w:rtl w:val="0"/>
          <w:lang w:val="da-DK"/>
        </w:rPr>
        <w:t>No-Contest:</w:t>
      </w:r>
      <w:r>
        <w:rPr>
          <w:rtl w:val="0"/>
          <w:lang w:val="en-US"/>
        </w:rPr>
        <w:t xml:space="preserve"> If any person contests the validity of this Trust or any amendment, or seeks to set aside any material provision of this Trust, that person shall forfeit any interest otherwise provided to that person under this Trust, and shall be treated as having predeceased the Grantor whose property is being administered, to the extent permitted by Texas law.</w:t>
      </w:r>
    </w:p>
    <w:p>
      <w:pPr>
        <w:pStyle w:val="Body"/>
        <w:numPr>
          <w:ilvl w:val="0"/>
          <w:numId w:val="2"/>
        </w:numPr>
        <w:rPr>
          <w:lang w:val="en-US"/>
        </w:rPr>
      </w:pPr>
      <w:r>
        <w:rPr>
          <w:rFonts w:ascii="Cambria Bold" w:hAnsi="Cambria Bold"/>
          <w:u w:val="single"/>
          <w:rtl w:val="0"/>
          <w:lang w:val="en-US"/>
        </w:rPr>
        <w:t>Simultaneous Death; Survivorship Presumption:</w:t>
      </w:r>
      <w:r>
        <w:rPr>
          <w:rtl w:val="0"/>
          <w:lang w:val="en-US"/>
        </w:rPr>
        <w:t xml:space="preserve"> If the order of deaths of the Grantors cannot be established, each Grantor shall be deemed to have predeceased the other for purposes of administering that Grantor</w:t>
      </w:r>
      <w:r>
        <w:rPr>
          <w:rtl w:val="1"/>
        </w:rPr>
        <w:t>’</w:t>
      </w:r>
      <w:r>
        <w:rPr>
          <w:rtl w:val="0"/>
          <w:lang w:val="en-US"/>
        </w:rPr>
        <w:t>s distributable estate under this Trust. Each Grantor</w:t>
      </w:r>
      <w:r>
        <w:rPr>
          <w:rtl w:val="1"/>
        </w:rPr>
        <w:t>’</w:t>
      </w:r>
      <w:r>
        <w:rPr>
          <w:rtl w:val="0"/>
          <w:lang w:val="en-US"/>
        </w:rPr>
        <w:t>s property shall be administered and distributed under Articles Eight through Twelve as though the other Grantor did not survive.</w:t>
      </w:r>
    </w:p>
    <w:p>
      <w:pPr>
        <w:pStyle w:val="Block Text"/>
      </w:pPr>
      <w:r>
        <w:rPr>
          <w:rtl w:val="0"/>
          <w:lang w:val="en-US"/>
        </w:rPr>
        <w:t>For any other beneficiary, a beneficiary must survive the Grantor by 30 days to be treated as surviving for purposes of determining entitlement to any distribution under this Trust. If a beneficiary fails to survive the Grantor by thirty (30) days, that beneficiary shall be deemed to have predeceased the Grantor, and the beneficiary</w:t>
      </w:r>
      <w:r>
        <w:rPr>
          <w:rtl w:val="0"/>
          <w:lang w:val="en-US"/>
        </w:rPr>
        <w:t>’</w:t>
      </w:r>
      <w:r>
        <w:rPr>
          <w:rtl w:val="0"/>
          <w:lang w:val="en-US"/>
        </w:rPr>
        <w:t>s share shall be distributed as though the beneficiary had not survived, subject to the recalculation provisions of Article Twelve where applicable.</w:t>
      </w:r>
    </w:p>
    <w:p>
      <w:pPr>
        <w:pStyle w:val="Body"/>
        <w:numPr>
          <w:ilvl w:val="0"/>
          <w:numId w:val="99"/>
        </w:numPr>
        <w:rPr>
          <w:lang w:val="en-US"/>
        </w:rPr>
      </w:pPr>
      <w:r>
        <w:rPr>
          <w:rFonts w:ascii="Cambria Bold" w:hAnsi="Cambria Bold"/>
          <w:u w:val="single"/>
          <w:rtl w:val="0"/>
          <w:lang w:val="en-US"/>
        </w:rPr>
        <w:t>Effect of Legal Separation or Divorce Filing:</w:t>
      </w:r>
      <w:r>
        <w:rPr>
          <w:rtl w:val="0"/>
          <w:lang w:val="en-US"/>
        </w:rPr>
        <w:t xml:space="preserve"> If either Grantor files a petition for legal separation, annulment, or dissolution of marriage, then</w:t>
      </w:r>
      <w:r>
        <w:rPr>
          <w:rtl w:val="0"/>
          <w:lang w:val="en-US"/>
        </w:rPr>
        <w:t>—</w:t>
      </w:r>
      <w:r>
        <w:rPr>
          <w:rtl w:val="0"/>
          <w:lang w:val="en-US"/>
        </w:rPr>
        <w:t>unless and until the petition is dismissed</w:t>
      </w:r>
      <w:r>
        <w:rPr>
          <w:rtl w:val="0"/>
          <w:lang w:val="en-US"/>
        </w:rPr>
        <w:t>—</w:t>
      </w:r>
      <w:r>
        <w:rPr>
          <w:rtl w:val="0"/>
          <w:lang w:val="en-US"/>
        </w:rPr>
        <w:t>any provision of this Trust treating the other Grantor as a beneficiary or fiduciary shall be treated as revoked as to that other Grantor, to the extent permitted by Texas law.</w:t>
      </w:r>
    </w:p>
    <w:p>
      <w:pPr>
        <w:pStyle w:val="Body"/>
        <w:numPr>
          <w:ilvl w:val="0"/>
          <w:numId w:val="20"/>
        </w:numPr>
        <w:rPr>
          <w:lang w:val="en-US"/>
        </w:rPr>
      </w:pPr>
      <w:r>
        <w:rPr>
          <w:rFonts w:ascii="Cambria Bold" w:hAnsi="Cambria Bold"/>
          <w:u w:val="single"/>
          <w:rtl w:val="0"/>
          <w:lang w:val="en-US"/>
        </w:rPr>
        <w:t>Anti-Lapse Statutes Waived:</w:t>
      </w:r>
      <w:r>
        <w:rPr>
          <w:rtl w:val="0"/>
          <w:lang w:val="en-US"/>
        </w:rPr>
        <w:t xml:space="preserve"> No anti-lapse statute of Texas or any other jurisdiction shall apply to alter the disposition of property under this Trust.</w:t>
      </w:r>
    </w:p>
    <w:p>
      <w:pPr>
        <w:pStyle w:val="Body"/>
        <w:numPr>
          <w:ilvl w:val="0"/>
          <w:numId w:val="20"/>
        </w:numPr>
        <w:rPr>
          <w:lang w:val="en-US"/>
        </w:rPr>
      </w:pPr>
      <w:r>
        <w:rPr>
          <w:rFonts w:ascii="Cambria Bold" w:hAnsi="Cambria Bold"/>
          <w:u w:val="single"/>
          <w:rtl w:val="0"/>
          <w:lang w:val="en-US"/>
        </w:rPr>
        <w:t>Governing Law; Situs; Venue:</w:t>
      </w:r>
      <w:r>
        <w:rPr>
          <w:rtl w:val="0"/>
          <w:lang w:val="en-US"/>
        </w:rPr>
        <w:t xml:space="preserve"> This Trust shall be governed by Texas law (excluding conflict-of-law rules), except to the extent mandatory law applies.</w:t>
      </w:r>
    </w:p>
    <w:p>
      <w:pPr>
        <w:pStyle w:val="Block Text"/>
      </w:pPr>
      <w:r>
        <w:rPr>
          <w:rtl w:val="0"/>
          <w:lang w:val="en-US"/>
        </w:rPr>
        <w:t>The Trustee may change the situs of administration of the Trust to another jurisdiction if the Trustee determines in good faith that doing so is in the best interests of the beneficiaries or is reasonably necessary for efficient administration. Any such change shall not alter the substantive distribution provisions of Articles Ten through Thirteen.</w:t>
      </w:r>
    </w:p>
    <w:p>
      <w:pPr>
        <w:pStyle w:val="Block Text"/>
      </w:pPr>
      <w:r>
        <w:rPr>
          <w:rtl w:val="0"/>
          <w:lang w:val="en-US"/>
        </w:rPr>
        <w:t>Unless otherwise required by mandatory law, venue for any proceeding concerning this Trust shall be in the county in Texas where the Trust is then principally administered.</w:t>
      </w:r>
    </w:p>
    <w:p>
      <w:pPr>
        <w:pStyle w:val="Body"/>
        <w:numPr>
          <w:ilvl w:val="0"/>
          <w:numId w:val="100"/>
        </w:numPr>
        <w:rPr>
          <w:lang w:val="en-US"/>
        </w:rPr>
      </w:pPr>
      <w:r>
        <w:rPr>
          <w:rFonts w:ascii="Cambria Bold" w:hAnsi="Cambria Bold"/>
          <w:u w:val="single"/>
          <w:rtl w:val="0"/>
          <w:lang w:val="en-US"/>
        </w:rPr>
        <w:t>Severability:</w:t>
      </w:r>
      <w:r>
        <w:rPr>
          <w:rtl w:val="0"/>
          <w:lang w:val="en-US"/>
        </w:rPr>
        <w:t xml:space="preserve"> If any provision of this Trust is held invalid or unenforceable, the remaining provisions shall be enforced to the fullest extent permitted by law.</w:t>
      </w:r>
    </w:p>
    <w:p>
      <w:pPr>
        <w:pStyle w:val="Body"/>
        <w:numPr>
          <w:ilvl w:val="0"/>
          <w:numId w:val="55"/>
        </w:numPr>
      </w:pPr>
      <w:r>
        <w:rPr>
          <w:rFonts w:ascii="Cambria Bold" w:hAnsi="Cambria Bold"/>
          <w:u w:val="single"/>
          <w:rtl w:val="0"/>
        </w:rPr>
        <w:t>Digital Assets:</w:t>
      </w:r>
      <w:r>
        <w:rPr>
          <w:rtl w:val="0"/>
          <w:lang w:val="en-US"/>
        </w:rPr>
        <w:t xml:space="preserve"> The Trustee is authorized to access, manage, control, delete, and transfer any digital assets of a Grantor or of this Trust to the extent permitted by Texas law, including the Texas Revised Uniform Fiduciary Access to Digital Assets Act (or any successor statute), and may take reasonable steps to obtain information, passwords, account access, and electronic records necessary for trust administration.</w:t>
      </w:r>
    </w:p>
    <w:p>
      <w:pPr>
        <w:pStyle w:val="Body"/>
        <w:numPr>
          <w:ilvl w:val="0"/>
          <w:numId w:val="55"/>
        </w:numPr>
        <w:rPr>
          <w:lang w:val="fr-FR"/>
        </w:rPr>
      </w:pPr>
      <w:r>
        <w:rPr>
          <w:rFonts w:ascii="Cambria Bold" w:hAnsi="Cambria Bold"/>
          <w:u w:val="single"/>
          <w:rtl w:val="0"/>
          <w:lang w:val="fr-FR"/>
        </w:rPr>
        <w:t>Definitions:</w:t>
      </w:r>
      <w:r>
        <w:rPr>
          <w:rtl w:val="0"/>
          <w:lang w:val="en-US"/>
        </w:rPr>
        <w:t xml:space="preserve"> For the purposes of this Trust:</w:t>
      </w:r>
    </w:p>
    <w:p>
      <w:pPr>
        <w:pStyle w:val="Body"/>
        <w:numPr>
          <w:ilvl w:val="1"/>
          <w:numId w:val="101"/>
        </w:numPr>
        <w:rPr>
          <w:lang w:val="it-IT"/>
        </w:rPr>
      </w:pPr>
      <w:r>
        <w:rPr>
          <w:rFonts w:ascii="Cambria Bold" w:hAnsi="Cambria Bold"/>
          <w:rtl w:val="0"/>
          <w:lang w:val="it-IT"/>
        </w:rPr>
        <w:t>Grantor</w:t>
      </w:r>
      <w:r>
        <w:rPr>
          <w:rtl w:val="0"/>
          <w:lang w:val="en-US"/>
        </w:rPr>
        <w:t xml:space="preserve"> means a maker of this Trust (also called settlor or trustor).</w:t>
      </w:r>
    </w:p>
    <w:p>
      <w:pPr>
        <w:pStyle w:val="Body"/>
        <w:numPr>
          <w:ilvl w:val="1"/>
          <w:numId w:val="66"/>
        </w:numPr>
        <w:rPr>
          <w:lang w:val="en-US"/>
        </w:rPr>
      </w:pPr>
      <w:r>
        <w:rPr>
          <w:rFonts w:ascii="Cambria Bold" w:hAnsi="Cambria Bold"/>
          <w:rtl w:val="0"/>
          <w:lang w:val="en-US"/>
        </w:rPr>
        <w:t>Incapacity</w:t>
      </w:r>
      <w:r>
        <w:rPr>
          <w:rtl w:val="0"/>
          <w:lang w:val="en-US"/>
        </w:rPr>
        <w:t xml:space="preserve"> has the meaning and determination method stated in Article Eight.</w:t>
      </w:r>
    </w:p>
    <w:p>
      <w:pPr>
        <w:pStyle w:val="Body"/>
        <w:numPr>
          <w:ilvl w:val="1"/>
          <w:numId w:val="66"/>
        </w:numPr>
        <w:rPr>
          <w:lang w:val="it-IT"/>
        </w:rPr>
      </w:pPr>
      <w:r>
        <w:rPr>
          <w:rFonts w:ascii="Cambria Bold" w:hAnsi="Cambria Bold"/>
          <w:rtl w:val="0"/>
          <w:lang w:val="it-IT"/>
        </w:rPr>
        <w:t>Legal Representative</w:t>
      </w:r>
      <w:r>
        <w:rPr>
          <w:rtl w:val="0"/>
          <w:lang w:val="en-US"/>
        </w:rPr>
        <w:t xml:space="preserve"> means a guardian, conservator, executor, administrator, trustee, attorney-in-fact, or other lawful representative of a person or the person</w:t>
      </w:r>
      <w:r>
        <w:rPr>
          <w:rtl w:val="1"/>
        </w:rPr>
        <w:t>’</w:t>
      </w:r>
      <w:r>
        <w:rPr>
          <w:rtl w:val="0"/>
          <w:lang w:val="en-US"/>
        </w:rPr>
        <w:t>s estate. For a minor beneficiary, a parent or custodial adult may act as Legal Representative.</w:t>
      </w:r>
    </w:p>
    <w:p>
      <w:pPr>
        <w:pStyle w:val="Body"/>
        <w:numPr>
          <w:ilvl w:val="1"/>
          <w:numId w:val="66"/>
        </w:numPr>
        <w:rPr>
          <w:lang w:val="en-US"/>
        </w:rPr>
      </w:pPr>
      <w:r>
        <w:rPr>
          <w:rFonts w:ascii="Cambria Bold" w:hAnsi="Cambria Bold"/>
          <w:rtl w:val="0"/>
          <w:lang w:val="en-US"/>
        </w:rPr>
        <w:t>Islamic Law of Inheritance</w:t>
      </w:r>
      <w:r>
        <w:rPr>
          <w:rtl w:val="0"/>
          <w:lang w:val="en-US"/>
        </w:rPr>
        <w:t xml:space="preserve"> means the fara</w:t>
      </w:r>
      <w:r>
        <w:rPr>
          <w:rtl w:val="1"/>
        </w:rPr>
        <w:t>’</w:t>
      </w:r>
      <w:r>
        <w:rPr>
          <w:rtl w:val="0"/>
          <w:lang w:val="en-US"/>
        </w:rPr>
        <w:t>id rules implemented through Article Twelve, including the recalculation requirement at death described in Article Twelve.</w:t>
      </w:r>
    </w:p>
    <w:p>
      <w:pPr>
        <w:pStyle w:val="Body"/>
        <w:numPr>
          <w:ilvl w:val="0"/>
          <w:numId w:val="102"/>
        </w:numPr>
        <w:rPr>
          <w:lang w:val="en-US"/>
        </w:rPr>
      </w:pPr>
      <w:r>
        <w:rPr>
          <w:rFonts w:ascii="Cambria Bold" w:hAnsi="Cambria Bold"/>
          <w:u w:val="single"/>
          <w:rtl w:val="0"/>
          <w:lang w:val="en-US"/>
        </w:rPr>
        <w:t>Notices; Reliance:</w:t>
      </w:r>
      <w:r>
        <w:rPr>
          <w:rtl w:val="0"/>
          <w:lang w:val="en-US"/>
        </w:rPr>
        <w:t xml:space="preserve"> Any notice required or permitted under this Trust must be in writing. A Trustee may rely in good faith on any signed writing, certification, or other documentation that reasonably appears authentic.</w:t>
      </w:r>
    </w:p>
    <w:p>
      <w:pPr>
        <w:pStyle w:val="First Paragraph"/>
      </w:pPr>
      <w:r>
        <w:rPr>
          <w:rtl w:val="0"/>
          <w:lang w:val="en-US"/>
        </w:rPr>
        <w:t>(The remainder of this page is left intentionally blank)</w:t>
      </w:r>
    </w:p>
    <w:p>
      <w:pPr>
        <w:pStyle w:val="Body Text"/>
      </w:pPr>
      <w:r>
        <w:rPr>
          <w:rtl w:val="0"/>
          <w:lang w:val="en-US"/>
        </w:rPr>
        <w:t xml:space="preserve">We have executed this trust on the following date </w:t>
      </w:r>
      <w:r>
        <w:rPr>
          <w:rFonts w:ascii="Cambria Bold" w:hAnsi="Cambria Bold"/>
          <w:rtl w:val="0"/>
          <w:lang w:val="en-US"/>
        </w:rPr>
        <w:t>__________</w:t>
      </w:r>
      <w:r>
        <w:rPr>
          <w:rFonts w:ascii="Cambria Bold" w:hAnsi="Cambria Bold"/>
          <w:rtl w:val="0"/>
          <w:lang w:val="en-US"/>
        </w:rPr>
        <w:t>.</w:t>
      </w:r>
      <w:r>
        <w:rPr>
          <w:rtl w:val="0"/>
          <w:lang w:val="en-US"/>
        </w:rPr>
        <w:t xml:space="preserve"> This trust instrument is effective when signed by us, whether or not now signed by a Trustee.</w:t>
      </w:r>
    </w:p>
    <w:p>
      <w:pPr>
        <w:pStyle w:val="Body Text"/>
      </w:pPr>
      <w:r>
        <w:rPr>
          <w:rtl w:val="0"/>
          <w:lang w:val="en-US"/>
        </w:rPr>
        <w:t>{husbandFullName}, Grantor and Trustee {wifeFullName}, Grantor and Trustee</w:t>
      </w:r>
    </w:p>
    <w:p>
      <w:pPr>
        <w:pStyle w:val="Body Text"/>
      </w:pPr>
      <w:r>
        <w:rPr>
          <w:rtl w:val="0"/>
          <w:lang w:val="en-US"/>
        </w:rPr>
        <w:t>STATE OF TEXAS )</w:t>
      </w:r>
    </w:p>
    <w:p>
      <w:pPr>
        <w:pStyle w:val="Body Text"/>
      </w:pPr>
      <w:r>
        <w:rPr>
          <w:rtl w:val="0"/>
          <w:lang w:val="en-US"/>
        </w:rPr>
        <w:t>) ss.</w:t>
      </w:r>
    </w:p>
    <w:p>
      <w:pPr>
        <w:pStyle w:val="Body Text"/>
      </w:pPr>
      <w:r>
        <w:rPr>
          <w:rtl w:val="0"/>
          <w:lang w:val="en-US"/>
        </w:rPr>
        <w:t>COUNTY OF {county} )</w:t>
      </w:r>
    </w:p>
    <w:p>
      <w:pPr>
        <w:pStyle w:val="Body Text"/>
      </w:pPr>
      <w:r>
        <w:rPr>
          <w:rtl w:val="0"/>
          <w:lang w:val="en-US"/>
        </w:rPr>
        <w:t>Before me, the undersigned authority, on this day personally appeared {husbandFullName}, known to me (or proved to me by satisfactory evidence) to be the person whose name is subscribed to the foregoing instrument, and acknowledged that he executed the same for the purposes and consideration therein expressed.</w:t>
      </w:r>
    </w:p>
    <w:p>
      <w:pPr>
        <w:pStyle w:val="Body Text"/>
      </w:pPr>
      <w:r>
        <w:rPr>
          <w:rtl w:val="0"/>
          <w:lang w:val="en-US"/>
        </w:rPr>
        <w:t xml:space="preserve">Given under my hand and seal of office on this </w:t>
      </w:r>
      <w:r>
        <w:rPr>
          <w:rFonts w:ascii="Cambria Bold" w:hAnsi="Cambria Bold"/>
          <w:rtl w:val="0"/>
          <w:lang w:val="en-US"/>
        </w:rPr>
        <w:t>___</w:t>
      </w:r>
      <w:r>
        <w:rPr>
          <w:rtl w:val="0"/>
          <w:lang w:val="en-US"/>
        </w:rPr>
        <w:t xml:space="preserve"> day of </w:t>
      </w:r>
      <w:r>
        <w:rPr>
          <w:rFonts w:ascii="Cambria Bold" w:hAnsi="Cambria Bold"/>
          <w:rtl w:val="0"/>
          <w:lang w:val="en-US"/>
        </w:rPr>
        <w:t>___________</w:t>
      </w:r>
      <w:r>
        <w:rPr>
          <w:rFonts w:ascii="Cambria Italic" w:hAnsi="Cambria Italic"/>
          <w:rtl w:val="0"/>
          <w:lang w:val="en-US"/>
        </w:rPr>
        <w:t>, 20</w:t>
      </w:r>
      <w:r>
        <w:rPr>
          <w:rFonts w:ascii="Cambria Bold" w:hAnsi="Cambria Bold"/>
          <w:rtl w:val="0"/>
          <w:lang w:val="en-US"/>
        </w:rPr>
        <w:t>___</w:t>
      </w:r>
      <w:r>
        <w:rPr>
          <w:rtl w:val="0"/>
          <w:lang w:val="en-US"/>
        </w:rPr>
        <w:t>.</w:t>
      </w:r>
    </w:p>
    <w:p>
      <w:pPr>
        <w:pStyle w:val="Block Text"/>
      </w:pPr>
      <w:r>
        <w:rPr>
          <w:rtl w:val="0"/>
          <w:lang w:val="en-US"/>
        </w:rPr>
        <w:t>Notary Public</w:t>
      </w:r>
    </w:p>
    <w:p>
      <w:pPr>
        <w:pStyle w:val="First Paragraph"/>
      </w:pPr>
      <w:r>
        <w:rPr>
          <w:rtl w:val="0"/>
          <w:lang w:val="en-US"/>
        </w:rPr>
        <w:t>STATE OF TEXAS )</w:t>
      </w:r>
    </w:p>
    <w:p>
      <w:pPr>
        <w:pStyle w:val="Body Text"/>
      </w:pPr>
      <w:r>
        <w:rPr>
          <w:rtl w:val="0"/>
          <w:lang w:val="en-US"/>
        </w:rPr>
        <w:t>) ss.</w:t>
      </w:r>
    </w:p>
    <w:p>
      <w:pPr>
        <w:pStyle w:val="Body Text"/>
      </w:pPr>
      <w:r>
        <w:rPr>
          <w:rtl w:val="0"/>
          <w:lang w:val="en-US"/>
        </w:rPr>
        <w:t>COUNTY OF {county} )</w:t>
      </w:r>
    </w:p>
    <w:p>
      <w:pPr>
        <w:pStyle w:val="Body Text"/>
      </w:pPr>
      <w:r>
        <w:rPr>
          <w:rtl w:val="0"/>
          <w:lang w:val="en-US"/>
        </w:rPr>
        <w:t>Before me, the undersigned authority, on this day personally appeared {wifeFullName}, known to me (or proved to me by satisfactory evidence) to be the person whose name is subscribed to the foregoing instrument, and acknowledged that she executed the same for the purposes and consideration therein expressed.</w:t>
      </w:r>
    </w:p>
    <w:p>
      <w:pPr>
        <w:pStyle w:val="Body Text"/>
      </w:pPr>
      <w:r>
        <w:rPr>
          <w:rtl w:val="0"/>
          <w:lang w:val="en-US"/>
        </w:rPr>
        <w:t xml:space="preserve">Given under my hand and seal of office on this </w:t>
      </w:r>
      <w:r>
        <w:rPr>
          <w:rFonts w:ascii="Cambria Bold" w:hAnsi="Cambria Bold"/>
          <w:rtl w:val="0"/>
          <w:lang w:val="en-US"/>
        </w:rPr>
        <w:t>___</w:t>
      </w:r>
      <w:r>
        <w:rPr>
          <w:rtl w:val="0"/>
          <w:lang w:val="en-US"/>
        </w:rPr>
        <w:t xml:space="preserve"> day of </w:t>
      </w:r>
      <w:r>
        <w:rPr>
          <w:rFonts w:ascii="Cambria Bold" w:hAnsi="Cambria Bold"/>
          <w:rtl w:val="0"/>
          <w:lang w:val="en-US"/>
        </w:rPr>
        <w:t>___________</w:t>
      </w:r>
      <w:r>
        <w:rPr>
          <w:rFonts w:ascii="Cambria Italic" w:hAnsi="Cambria Italic"/>
          <w:rtl w:val="0"/>
          <w:lang w:val="en-US"/>
        </w:rPr>
        <w:t>, 20</w:t>
      </w:r>
      <w:r>
        <w:rPr>
          <w:rFonts w:ascii="Cambria Bold" w:hAnsi="Cambria Bold"/>
          <w:rtl w:val="0"/>
          <w:lang w:val="en-US"/>
        </w:rPr>
        <w:t>___</w:t>
      </w:r>
      <w:r>
        <w:rPr>
          <w:rtl w:val="0"/>
          <w:lang w:val="en-US"/>
        </w:rPr>
        <w:t>.</w:t>
      </w:r>
    </w:p>
    <w:p>
      <w:pPr>
        <w:pStyle w:val="Block Text"/>
      </w:pPr>
      <w:r>
        <w:rPr>
          <w:rtl w:val="0"/>
          <w:lang w:val="en-US"/>
        </w:rPr>
        <w:t>Notary Public</w:t>
      </w:r>
    </w:p>
    <w:p>
      <w:pPr>
        <w:pStyle w:val="First Paragraph"/>
      </w:pPr>
      <w:r>
        <w:rPr>
          <w:rFonts w:ascii="Cambria Bold" w:hAnsi="Cambria Bold"/>
          <w:rtl w:val="0"/>
          <w:lang w:val="en-US"/>
        </w:rPr>
        <w:t>Schedule A</w:t>
      </w:r>
    </w:p>
    <w:p>
      <w:pPr>
        <w:pStyle w:val="Body Text"/>
      </w:pPr>
      <w:r>
        <w:rPr>
          <w:rtl w:val="0"/>
          <w:lang w:val="en-US"/>
        </w:rPr>
        <w:t>This Schedule assists the Trustee in the division and distribution of trust property upon death. It may be amended from time to time in handwriting by crossing out existing items or writing additional items in, provided the amending Grantor initials and dates any addition or deletion.</w:t>
      </w:r>
    </w:p>
    <w:p>
      <w:pPr>
        <w:pStyle w:val="Body Text"/>
      </w:pPr>
      <w:r>
        <w:rPr>
          <w:rtl w:val="0"/>
          <w:lang w:val="en-US"/>
        </w:rPr>
        <w:t>{#isAssetAllocation}</w:t>
      </w:r>
    </w:p>
    <w:p>
      <w:pPr>
        <w:pStyle w:val="Body Text"/>
      </w:pPr>
      <w:r>
        <w:rPr>
          <w:rFonts w:ascii="Cambria Bold" w:hAnsi="Cambria Bold"/>
          <w:rtl w:val="0"/>
          <w:lang w:val="en-US"/>
        </w:rPr>
        <w:t xml:space="preserve">Section </w:t>
      </w:r>
      <w:r>
        <w:rPr>
          <w:rFonts w:ascii="Cambria Bold" w:hAnsi="Cambria Bold"/>
          <w:rtl w:val="0"/>
          <w:lang w:val="en-US"/>
        </w:rPr>
        <w:t>1</w:t>
      </w:r>
      <w:r>
        <w:rPr>
          <w:rFonts w:ascii="Cambria Bold" w:hAnsi="Cambria Bold"/>
          <w:rtl w:val="0"/>
          <w:lang w:val="en-US"/>
        </w:rPr>
        <w:t>: Asset Allocation Table:</w:t>
      </w:r>
      <w:r>
        <w:rPr>
          <w:rtl w:val="0"/>
          <w:lang w:val="en-US"/>
        </w:rPr>
        <w:t xml:space="preserve"> List all community property assets</w:t>
      </w:r>
      <w:r>
        <w:rPr>
          <w:rtl w:val="0"/>
          <w:lang w:val="en-US"/>
        </w:rPr>
        <w:t>—</w:t>
      </w:r>
      <w:r>
        <w:rPr>
          <w:rtl w:val="0"/>
          <w:lang w:val="en-US"/>
        </w:rPr>
        <w:t xml:space="preserve">property acquired </w:t>
      </w:r>
      <w:r>
        <w:rPr>
          <w:u w:val="single"/>
          <w:rtl w:val="0"/>
          <w:lang w:val="en-US"/>
        </w:rPr>
        <w:t>during</w:t>
      </w:r>
      <w:r>
        <w:rPr>
          <w:rtl w:val="0"/>
          <w:lang w:val="en-US"/>
        </w:rPr>
        <w:t xml:space="preserve"> the marriage and </w:t>
      </w:r>
      <w:r>
        <w:rPr>
          <w:u w:val="single"/>
          <w:rtl w:val="0"/>
          <w:lang w:val="en-US"/>
        </w:rPr>
        <w:t>not</w:t>
      </w:r>
      <w:r>
        <w:rPr>
          <w:rtl w:val="0"/>
          <w:lang w:val="en-US"/>
        </w:rPr>
        <w:t xml:space="preserve"> by gift</w:t>
      </w:r>
      <w:r>
        <w:rPr>
          <w:rtl w:val="0"/>
          <w:lang w:val="en-US"/>
        </w:rPr>
        <w:t>—</w:t>
      </w:r>
      <w:r>
        <w:rPr>
          <w:rtl w:val="0"/>
          <w:lang w:val="en-US"/>
        </w:rPr>
        <w:t>and designate Islamic ownership for each. Any community property asset not listed here shall default to a 50/50 allocation for purposes of Islamic distribution under Article Twelve.</w:t>
      </w:r>
    </w:p>
    <w:tbl>
      <w:tblPr>
        <w:tblW w:w="11022" w:type="dxa"/>
        <w:jc w:val="left"/>
        <w:tblInd w:w="713"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74"/>
        <w:gridCol w:w="3674"/>
        <w:gridCol w:w="3674"/>
      </w:tblGrid>
      <w:tr>
        <w:tblPrEx>
          <w:shd w:val="clear" w:color="auto" w:fill="ced7e7"/>
        </w:tblPrEx>
        <w:trPr>
          <w:trHeight w:val="33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Asset</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Ownership</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Account ID</w:t>
            </w:r>
          </w:p>
        </w:tc>
      </w:tr>
      <w:tr>
        <w:tblPrEx>
          <w:shd w:val="clear" w:color="auto" w:fill="ced7e7"/>
        </w:tblPrEx>
        <w:trPr>
          <w:trHeight w:val="31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{#assetAllocation}{assetName}</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{owner}</w:t>
            </w: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{accountId}{/assetAllocation}</w:t>
            </w: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367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keepNext w:val="0"/>
        <w:keepLines w:val="0"/>
        <w:pageBreakBefore w:val="0"/>
        <w:widowControl w:val="0"/>
        <w:shd w:val="clear" w:color="auto" w:fill="auto"/>
        <w:tabs>
          <w:tab w:val="left" w:pos="3407"/>
          <w:tab w:val="left" w:pos="8253"/>
        </w:tabs>
        <w:suppressAutoHyphens w:val="0"/>
        <w:bidi w:val="0"/>
        <w:spacing w:before="1" w:after="0" w:line="240" w:lineRule="auto"/>
        <w:ind w:left="605" w:right="0" w:hanging="605"/>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3"/>
          <w:szCs w:val="23"/>
          <w:u w:val="none" w:color="030303"/>
          <w:shd w:val="nil" w:color="auto" w:fill="auto"/>
          <w:vertAlign w:val="baseline"/>
          <w:rtl w:val="0"/>
          <w14:textOutline w14:w="12700" w14:cap="flat">
            <w14:noFill/>
            <w14:miter w14:lim="400000"/>
          </w14:textOutline>
          <w14:textFill>
            <w14:solidFill>
              <w14:srgbClr w14:val="030303"/>
            </w14:solidFill>
          </w14:textFill>
        </w:rPr>
      </w:pPr>
    </w:p>
    <w:p>
      <w:pPr>
        <w:keepNext w:val="0"/>
        <w:keepLines w:val="0"/>
        <w:pageBreakBefore w:val="0"/>
        <w:widowControl w:val="0"/>
        <w:shd w:val="clear" w:color="auto" w:fill="auto"/>
        <w:tabs>
          <w:tab w:val="left" w:pos="3407"/>
          <w:tab w:val="left" w:pos="8253"/>
        </w:tabs>
        <w:suppressAutoHyphens w:val="0"/>
        <w:bidi w:val="0"/>
        <w:spacing w:before="1" w:after="0" w:line="240" w:lineRule="auto"/>
        <w:ind w:left="497" w:right="0" w:hanging="497"/>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3"/>
          <w:szCs w:val="23"/>
          <w:u w:val="none" w:color="030303"/>
          <w:shd w:val="nil" w:color="auto" w:fill="auto"/>
          <w:vertAlign w:val="baseline"/>
          <w:rtl w:val="0"/>
          <w14:textOutline w14:w="12700" w14:cap="flat">
            <w14:noFill/>
            <w14:miter w14:lim="400000"/>
          </w14:textOutline>
          <w14:textFill>
            <w14:solidFill>
              <w14:srgbClr w14:val="030303"/>
            </w14:solidFill>
          </w14:textFill>
        </w:rPr>
      </w:pPr>
    </w:p>
    <w:p>
      <w:pPr>
        <w:pStyle w:val="Body Text"/>
      </w:pPr>
    </w:p>
    <w:p>
      <w:pPr>
        <w:pStyle w:val="Body Text"/>
      </w:pPr>
      <w:r>
        <w:rPr>
          <w:rtl w:val="0"/>
          <w:lang w:val="en-US"/>
        </w:rPr>
        <w:t>{/isAssetAllocation}</w:t>
      </w:r>
    </w:p>
    <w:p>
      <w:pPr>
        <w:pStyle w:val="Body Text"/>
      </w:pPr>
      <w:r>
        <w:rPr>
          <w:rtl w:val="0"/>
          <w:lang w:val="en-US"/>
        </w:rPr>
        <w:t>{#isHeba}</w:t>
      </w:r>
    </w:p>
    <w:p>
      <w:pPr>
        <w:pStyle w:val="Body Text"/>
      </w:pPr>
      <w:bookmarkStart w:name="generalprovisions2" w:id="32"/>
      <w:r>
        <w:rPr>
          <w:rFonts w:ascii="Cambria Bold" w:hAnsi="Cambria Bold"/>
          <w:rtl w:val="0"/>
          <w:lang w:val="en-US"/>
        </w:rPr>
        <w:t xml:space="preserve">Section </w:t>
      </w:r>
      <w:r>
        <w:rPr>
          <w:rFonts w:ascii="Cambria Bold" w:hAnsi="Cambria Bold"/>
          <w:rtl w:val="0"/>
          <w:lang w:val="en-US"/>
        </w:rPr>
        <w:t>1</w:t>
      </w:r>
      <w:r>
        <w:rPr>
          <w:rFonts w:ascii="Cambria Bold" w:hAnsi="Cambria Bold"/>
          <w:rtl w:val="0"/>
          <w:lang w:val="en-US"/>
        </w:rPr>
        <w:t>: Major Assets:</w:t>
      </w:r>
      <w:r>
        <w:rPr>
          <w:rtl w:val="0"/>
          <w:lang w:val="en-US"/>
        </w:rPr>
        <w:t xml:space="preserve"> Because the Grantors elected the mutual heba, Islamic ownership of community property is shared equally. This Section lists major assets as a roadmap for the Trustee. Do not list motor vehicles or ordinary household items. Account identifiers, if any, should use only the last four digits or a short reference.</w:t>
      </w:r>
    </w:p>
    <w:tbl>
      <w:tblPr>
        <w:tblW w:w="11022" w:type="dxa"/>
        <w:jc w:val="left"/>
        <w:tblInd w:w="713"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511"/>
        <w:gridCol w:w="5511"/>
      </w:tblGrid>
      <w:tr>
        <w:tblPrEx>
          <w:shd w:val="clear" w:color="auto" w:fill="ced7e7"/>
        </w:tblPrEx>
        <w:trPr>
          <w:trHeight w:val="33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Asset</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Account ID</w:t>
            </w:r>
          </w:p>
        </w:tc>
      </w:tr>
      <w:tr>
        <w:tblPrEx>
          <w:shd w:val="clear" w:color="auto" w:fill="ced7e7"/>
        </w:tblPrEx>
        <w:trPr>
          <w:trHeight w:val="31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{#hebaAssets}{assetName}</w:t>
            </w: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0"/>
            </w:pPr>
            <w:r>
              <w:rPr>
                <w:rFonts w:ascii="Times New Roman" w:hAnsi="Times New Roman"/>
                <w:shd w:val="nil" w:color="auto" w:fill="auto"/>
                <w:rtl w:val="0"/>
                <w:lang w:val="en-US"/>
              </w:rPr>
              <w:t>{accountId}{/hebaAssets}</w:t>
            </w: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0" w:hRule="atLeast"/>
        </w:trPr>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551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keepNext w:val="0"/>
        <w:keepLines w:val="0"/>
        <w:pageBreakBefore w:val="0"/>
        <w:widowControl w:val="0"/>
        <w:shd w:val="clear" w:color="auto" w:fill="auto"/>
        <w:tabs>
          <w:tab w:val="left" w:pos="3407"/>
          <w:tab w:val="left" w:pos="8253"/>
        </w:tabs>
        <w:suppressAutoHyphens w:val="0"/>
        <w:bidi w:val="0"/>
        <w:spacing w:before="1" w:after="0" w:line="240" w:lineRule="auto"/>
        <w:ind w:left="605" w:right="0" w:hanging="605"/>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3"/>
          <w:szCs w:val="23"/>
          <w:u w:val="none" w:color="030303"/>
          <w:shd w:val="nil" w:color="auto" w:fill="auto"/>
          <w:vertAlign w:val="baseline"/>
          <w:rtl w:val="0"/>
          <w14:textOutline w14:w="12700" w14:cap="flat">
            <w14:noFill/>
            <w14:miter w14:lim="400000"/>
          </w14:textOutline>
          <w14:textFill>
            <w14:solidFill>
              <w14:srgbClr w14:val="030303"/>
            </w14:solidFill>
          </w14:textFill>
        </w:rPr>
      </w:pPr>
      <w:bookmarkEnd w:id="32"/>
    </w:p>
    <w:p>
      <w:pPr>
        <w:keepNext w:val="0"/>
        <w:keepLines w:val="0"/>
        <w:pageBreakBefore w:val="0"/>
        <w:widowControl w:val="0"/>
        <w:shd w:val="clear" w:color="auto" w:fill="auto"/>
        <w:tabs>
          <w:tab w:val="left" w:pos="3407"/>
          <w:tab w:val="left" w:pos="8253"/>
        </w:tabs>
        <w:suppressAutoHyphens w:val="0"/>
        <w:bidi w:val="0"/>
        <w:spacing w:before="1" w:after="0" w:line="240" w:lineRule="auto"/>
        <w:ind w:left="497" w:right="0" w:hanging="497"/>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3"/>
          <w:szCs w:val="23"/>
          <w:u w:val="none" w:color="030303"/>
          <w:shd w:val="nil" w:color="auto" w:fill="auto"/>
          <w:vertAlign w:val="baseline"/>
          <w:rtl w:val="0"/>
          <w14:textOutline w14:w="12700" w14:cap="flat">
            <w14:noFill/>
            <w14:miter w14:lim="400000"/>
          </w14:textOutline>
          <w14:textFill>
            <w14:solidFill>
              <w14:srgbClr w14:val="030303"/>
            </w14:solidFill>
          </w14:textFill>
        </w:rPr>
      </w:pPr>
      <w:bookmarkEnd w:id="31"/>
    </w:p>
    <w:p>
      <w:pPr>
        <w:keepNext w:val="0"/>
        <w:keepLines w:val="0"/>
        <w:pageBreakBefore w:val="0"/>
        <w:widowControl w:val="0"/>
        <w:shd w:val="clear" w:color="auto" w:fill="auto"/>
        <w:tabs>
          <w:tab w:val="left" w:pos="4375"/>
        </w:tabs>
        <w:suppressAutoHyphens w:val="0"/>
        <w:bidi w:val="0"/>
        <w:spacing w:before="0" w:after="0" w:line="240" w:lineRule="auto"/>
        <w:ind w:left="0" w:right="0" w:firstLine="0"/>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14:textOutline w14:w="12700" w14:cap="flat">
            <w14:noFill/>
            <w14:miter w14:lim="400000"/>
          </w14:textOutline>
          <w14:textFill>
            <w14:solidFill>
              <w14:srgbClr w14:val="030303"/>
            </w14:solidFill>
          </w14:textFill>
        </w:rPr>
      </w:pPr>
      <w:r>
        <w:rPr>
          <w:rFonts w:ascii="Times New Roman" w:cs="Arial Unicode MS" w:hAnsi="Times New Roman" w:eastAsia="Arial Unicode MS"/>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lang w:val="en-US"/>
          <w14:textOutline w14:w="12700" w14:cap="flat">
            <w14:noFill/>
            <w14:miter w14:lim="400000"/>
          </w14:textOutline>
          <w14:textFill>
            <w14:solidFill>
              <w14:srgbClr w14:val="030303"/>
            </w14:solidFill>
          </w14:textFill>
        </w:rPr>
        <w:t>{/isHeba}</w:t>
      </w:r>
    </w:p>
    <w:p>
      <w:pPr>
        <w:keepNext w:val="0"/>
        <w:keepLines w:val="0"/>
        <w:pageBreakBefore w:val="0"/>
        <w:widowControl w:val="0"/>
        <w:shd w:val="clear" w:color="auto" w:fill="auto"/>
        <w:tabs>
          <w:tab w:val="left" w:pos="4375"/>
        </w:tabs>
        <w:suppressAutoHyphens w:val="0"/>
        <w:bidi w:val="0"/>
        <w:spacing w:before="0" w:after="0" w:line="240" w:lineRule="auto"/>
        <w:ind w:left="0" w:right="0" w:firstLine="0"/>
        <w:jc w:val="left"/>
        <w:outlineLvl w:val="9"/>
        <w:rPr>
          <w:rFonts w:ascii="Times New Roman" w:cs="Times New Roman" w:hAnsi="Times New Roman" w:eastAsia="Times New Roman"/>
          <w:b w:val="1"/>
          <w:bCs w:val="1"/>
          <w:i w:val="0"/>
          <w:iCs w:val="0"/>
          <w:caps w:val="0"/>
          <w:smallCaps w:val="0"/>
          <w:strike w:val="0"/>
          <w:dstrike w:val="0"/>
          <w:outline w:val="0"/>
          <w:color w:val="030303"/>
          <w:spacing w:val="0"/>
          <w:kern w:val="0"/>
          <w:position w:val="0"/>
          <w:sz w:val="24"/>
          <w:szCs w:val="24"/>
          <w:u w:val="none" w:color="030303"/>
          <w:shd w:val="nil" w:color="auto" w:fill="auto"/>
          <w:vertAlign w:val="baseline"/>
          <w:rtl w:val="0"/>
          <w14:textOutline w14:w="12700" w14:cap="flat">
            <w14:noFill/>
            <w14:miter w14:lim="400000"/>
          </w14:textOutline>
          <w14:textFill>
            <w14:solidFill>
              <w14:srgbClr w14:val="030303"/>
            </w14:solidFill>
          </w14:textFill>
        </w:rPr>
      </w:pPr>
    </w:p>
    <w:p>
      <w:pPr>
        <w:pStyle w:val="Body Text"/>
      </w:pPr>
      <w:r>
        <w:rPr>
          <w:rFonts w:ascii="Cambria Bold" w:hAnsi="Cambria Bold"/>
          <w:rtl w:val="0"/>
          <w:lang w:val="en-US"/>
        </w:rPr>
        <w:t>Schedule B</w:t>
      </w:r>
    </w:p>
    <w:p>
      <w:pPr>
        <w:pStyle w:val="Body Text"/>
      </w:pPr>
      <w:r>
        <w:rPr>
          <w:rFonts w:ascii="Cambria Bold" w:hAnsi="Cambria Bold"/>
          <w:rtl w:val="0"/>
          <w:lang w:val="en-US"/>
        </w:rPr>
        <w:t xml:space="preserve">Islamic Law of Inheritance </w:t>
      </w:r>
      <w:r>
        <w:rPr>
          <w:rFonts w:ascii="Cambria Bold" w:hAnsi="Cambria Bold" w:hint="default"/>
          <w:rtl w:val="0"/>
          <w:lang w:val="en-US"/>
        </w:rPr>
        <w:t xml:space="preserve">– </w:t>
      </w:r>
      <w:r>
        <w:rPr>
          <w:rFonts w:ascii="Cambria Bold" w:hAnsi="Cambria Bold"/>
          <w:rtl w:val="0"/>
          <w:lang w:val="en-US"/>
        </w:rPr>
        <w:t>Governing Rules</w:t>
      </w:r>
    </w:p>
    <w:p>
      <w:pPr>
        <w:pStyle w:val="Compact"/>
        <w:numPr>
          <w:ilvl w:val="0"/>
          <w:numId w:val="103"/>
        </w:numPr>
        <w:rPr>
          <w:lang w:val="en-US"/>
        </w:rPr>
      </w:pPr>
      <w:r>
        <w:rPr>
          <w:rtl w:val="0"/>
          <w:lang w:val="en-US"/>
        </w:rPr>
        <w:t>Applicable School of Jurisprudence</w:t>
      </w:r>
    </w:p>
    <w:p>
      <w:pPr>
        <w:pStyle w:val="Block Text"/>
      </w:pPr>
      <w:r>
        <w:rPr>
          <w:rtl w:val="0"/>
          <w:lang w:val="en-US"/>
        </w:rPr>
        <w:t>Distribution under this Trust shall be governed by the rules of Islamic inheritance (fara</w:t>
      </w:r>
      <w:r>
        <w:rPr>
          <w:rtl w:val="0"/>
          <w:lang w:val="en-US"/>
        </w:rPr>
        <w:t>’</w:t>
      </w:r>
      <w:r>
        <w:rPr>
          <w:rtl w:val="0"/>
          <w:lang w:val="en-US"/>
        </w:rPr>
        <w:t>id) as interpreted under the following school of jurisprudence selected by the Grantor:</w:t>
      </w:r>
      <w:r>
        <w:br w:type="textWrapping"/>
      </w:r>
      <w:r>
        <w:rPr>
          <w:rtl w:val="0"/>
          <w:lang w:val="en-US"/>
        </w:rPr>
        <w:t>{madhab}.</w:t>
      </w:r>
    </w:p>
    <w:p>
      <w:pPr>
        <w:pStyle w:val="Block Text"/>
      </w:pPr>
      <w:r>
        <w:rPr>
          <w:rtl w:val="0"/>
          <w:lang w:val="en-US"/>
        </w:rPr>
        <w:t>If no selection is made, the Hanafi school shall apply.</w:t>
      </w:r>
    </w:p>
    <w:p>
      <w:pPr>
        <w:pStyle w:val="Compact"/>
        <w:numPr>
          <w:ilvl w:val="0"/>
          <w:numId w:val="106"/>
        </w:numPr>
        <w:rPr>
          <w:lang w:val="en-US"/>
        </w:rPr>
      </w:pPr>
      <w:r>
        <w:rPr>
          <w:rtl w:val="0"/>
          <w:lang w:val="en-US"/>
        </w:rPr>
        <w:t>Hierarchy of Distribution</w:t>
      </w:r>
    </w:p>
    <w:p>
      <w:pPr>
        <w:pStyle w:val="Block Text"/>
      </w:pPr>
      <w:r>
        <w:rPr>
          <w:rtl w:val="0"/>
          <w:lang w:val="en-US"/>
        </w:rPr>
        <w:t>Upon the death of a Grantor, the Trustee shall:</w:t>
      </w:r>
    </w:p>
    <w:p>
      <w:pPr>
        <w:pStyle w:val="Body"/>
        <w:numPr>
          <w:ilvl w:val="0"/>
          <w:numId w:val="107"/>
        </w:numPr>
        <w:rPr>
          <w:lang w:val="en-US"/>
        </w:rPr>
      </w:pPr>
      <w:r>
        <w:rPr>
          <w:rtl w:val="0"/>
          <w:lang w:val="en-US"/>
        </w:rPr>
        <w:t>Identify all heirs living at the time of death;</w:t>
      </w:r>
    </w:p>
    <w:p>
      <w:pPr>
        <w:pStyle w:val="Body"/>
        <w:numPr>
          <w:ilvl w:val="0"/>
          <w:numId w:val="107"/>
        </w:numPr>
        <w:rPr>
          <w:lang w:val="en-US"/>
        </w:rPr>
      </w:pPr>
      <w:r>
        <w:rPr>
          <w:rtl w:val="0"/>
          <w:lang w:val="en-US"/>
        </w:rPr>
        <w:t>Allocate fixed shares to Quranic heirs (Dhawil Furood);</w:t>
      </w:r>
    </w:p>
    <w:p>
      <w:pPr>
        <w:pStyle w:val="Body"/>
        <w:numPr>
          <w:ilvl w:val="0"/>
          <w:numId w:val="107"/>
        </w:numPr>
        <w:rPr>
          <w:lang w:val="en-US"/>
        </w:rPr>
      </w:pPr>
      <w:r>
        <w:rPr>
          <w:rtl w:val="0"/>
          <w:lang w:val="en-US"/>
        </w:rPr>
        <w:t>Distribute the residue to residuary heirs (Asabah);</w:t>
      </w:r>
    </w:p>
    <w:p>
      <w:pPr>
        <w:pStyle w:val="Body"/>
        <w:numPr>
          <w:ilvl w:val="0"/>
          <w:numId w:val="107"/>
        </w:numPr>
        <w:rPr>
          <w:lang w:val="en-US"/>
        </w:rPr>
      </w:pPr>
      <w:r>
        <w:rPr>
          <w:rtl w:val="0"/>
          <w:lang w:val="en-US"/>
        </w:rPr>
        <w:t>Apply the doctrine of Radd, if applicable under the selected school;</w:t>
      </w:r>
    </w:p>
    <w:p>
      <w:pPr>
        <w:pStyle w:val="Body"/>
        <w:numPr>
          <w:ilvl w:val="0"/>
          <w:numId w:val="107"/>
        </w:numPr>
        <w:rPr>
          <w:lang w:val="en-US"/>
        </w:rPr>
      </w:pPr>
      <w:r>
        <w:rPr>
          <w:rtl w:val="0"/>
          <w:lang w:val="en-US"/>
        </w:rPr>
        <w:t>If no Quranic or residuary heirs exist, distribute to distant kindred (Dhawil Arham) in accordance with the selected school.</w:t>
      </w:r>
    </w:p>
    <w:p>
      <w:pPr>
        <w:pStyle w:val="Compact"/>
        <w:numPr>
          <w:ilvl w:val="0"/>
          <w:numId w:val="110"/>
        </w:numPr>
        <w:rPr>
          <w:lang w:val="en-US"/>
        </w:rPr>
      </w:pPr>
      <w:r>
        <w:rPr>
          <w:rtl w:val="0"/>
          <w:lang w:val="en-US"/>
        </w:rPr>
        <w:t>Recalculation Requirement</w:t>
      </w:r>
    </w:p>
    <w:p>
      <w:pPr>
        <w:pStyle w:val="Block Text"/>
      </w:pPr>
      <w:r>
        <w:rPr>
          <w:rtl w:val="0"/>
          <w:lang w:val="en-US"/>
        </w:rPr>
        <w:t>All shares shall be recalculated as of the date of the Grantor</w:t>
      </w:r>
      <w:r>
        <w:rPr>
          <w:rtl w:val="0"/>
          <w:lang w:val="en-US"/>
        </w:rPr>
        <w:t>’</w:t>
      </w:r>
      <w:r>
        <w:rPr>
          <w:rtl w:val="0"/>
          <w:lang w:val="en-US"/>
        </w:rPr>
        <w:t>s death based solely on heirs then living and eligible to inherit </w:t>
      </w:r>
      <w:r>
        <w:rPr>
          <w:bCs/>
          <w:b/>
        </w:rPr>
        <w:t>under Islamic law</w:t>
      </w:r>
      <w:r>
        <w:rPr>
          <w:rtl w:val="0"/>
          <w:lang w:val="en-US"/>
        </w:rPr>
        <w:t>.</w:t>
      </w:r>
    </w:p>
    <w:p>
      <w:pPr>
        <w:pStyle w:val="Block Text"/>
      </w:pPr>
      <w:r>
        <w:rPr>
          <w:rtl w:val="0"/>
          <w:lang w:val="en-US"/>
        </w:rPr>
        <w:t>Any heir who predeceases the Grantor shall be treated as having no share, and the distribution shall be recomputed accordingly.</w:t>
      </w:r>
    </w:p>
    <w:p>
      <w:pPr>
        <w:pStyle w:val="Compact"/>
        <w:numPr>
          <w:ilvl w:val="0"/>
          <w:numId w:val="113"/>
        </w:numPr>
        <w:rPr>
          <w:lang w:val="en-US"/>
        </w:rPr>
      </w:pPr>
      <w:r>
        <w:rPr>
          <w:rtl w:val="0"/>
          <w:lang w:val="en-US"/>
        </w:rPr>
        <w:t>Exclusion and Blocking</w:t>
      </w:r>
    </w:p>
    <w:p>
      <w:pPr>
        <w:pStyle w:val="Block Text"/>
      </w:pPr>
      <w:r>
        <w:rPr>
          <w:rtl w:val="0"/>
          <w:lang w:val="en-US"/>
        </w:rPr>
        <w:t>The Trustee shall apply the rules of exclusion (hajb) under the selected school of jurisprudence, including the exclusion of more remote heirs by nearer heirs.</w:t>
      </w:r>
    </w:p>
    <w:p>
      <w:pPr>
        <w:pStyle w:val="Compact"/>
        <w:numPr>
          <w:ilvl w:val="0"/>
          <w:numId w:val="116"/>
        </w:numPr>
        <w:rPr>
          <w:lang w:val="en-US"/>
        </w:rPr>
      </w:pPr>
      <w:r>
        <w:rPr>
          <w:rtl w:val="0"/>
          <w:lang w:val="en-US"/>
        </w:rPr>
        <w:t>Trustee Reliance</w:t>
      </w:r>
    </w:p>
    <w:p>
      <w:pPr>
        <w:pStyle w:val="Block Text"/>
      </w:pPr>
      <w:r>
        <w:rPr>
          <w:rtl w:val="0"/>
          <w:lang w:val="en-US"/>
        </w:rPr>
        <w:t>The Trustee may rely in good faith upon:</w:t>
      </w:r>
    </w:p>
    <w:p>
      <w:pPr>
        <w:pStyle w:val="Body"/>
        <w:numPr>
          <w:ilvl w:val="0"/>
          <w:numId w:val="18"/>
        </w:numPr>
        <w:rPr>
          <w:lang w:val="en-US"/>
        </w:rPr>
      </w:pPr>
      <w:r>
        <w:rPr>
          <w:rtl w:val="0"/>
          <w:lang w:val="en-US"/>
        </w:rPr>
        <w:t>A qualified, credentialed, Sunni Muslim scholar whose qualification is recognized by at least two other scholars in the first scholar</w:t>
      </w:r>
      <w:r>
        <w:rPr>
          <w:rtl w:val="1"/>
        </w:rPr>
        <w:t>’</w:t>
      </w:r>
      <w:r>
        <w:rPr>
          <w:rtl w:val="0"/>
          <w:lang w:val="en-US"/>
        </w:rPr>
        <w:t>s locality;</w:t>
      </w:r>
    </w:p>
    <w:p>
      <w:pPr>
        <w:pStyle w:val="Body"/>
        <w:numPr>
          <w:ilvl w:val="0"/>
          <w:numId w:val="18"/>
        </w:numPr>
        <w:rPr>
          <w:lang w:val="en-US"/>
        </w:rPr>
      </w:pPr>
      <w:r>
        <w:rPr>
          <w:rtl w:val="0"/>
          <w:lang w:val="en-US"/>
        </w:rPr>
        <w:t>A recognized Islamic inheritance authority;</w:t>
      </w:r>
    </w:p>
    <w:p>
      <w:pPr>
        <w:pStyle w:val="Body"/>
        <w:numPr>
          <w:ilvl w:val="0"/>
          <w:numId w:val="18"/>
        </w:numPr>
        <w:rPr>
          <w:lang w:val="en-US"/>
        </w:rPr>
      </w:pPr>
      <w:r>
        <w:rPr>
          <w:rtl w:val="0"/>
          <w:lang w:val="en-US"/>
        </w:rPr>
        <w:t>The inheritance calculation generated by the Trust</w:t>
      </w:r>
      <w:r>
        <w:rPr>
          <w:rtl w:val="1"/>
        </w:rPr>
        <w:t>’</w:t>
      </w:r>
      <w:r>
        <w:rPr>
          <w:rtl w:val="0"/>
          <w:lang w:val="en-US"/>
        </w:rPr>
        <w:t>s internal calculation system, provided the system reflects the selected school.</w:t>
      </w:r>
    </w:p>
    <w:p>
      <w:pPr>
        <w:pStyle w:val="First Paragraph"/>
      </w:pPr>
      <w:r>
        <w:rPr>
          <w:rtl w:val="0"/>
          <w:lang w:val="en-US"/>
        </w:rPr>
        <w:t>The Trustee shall not be liable for good-faith reliance on such authority.</w:t>
      </w:r>
    </w:p>
    <w:sectPr>
      <w:headerReference w:type="default" r:id="rId4"/>
      <w:footerReference w:type="default" r:id="rId5"/>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Cambria Bold">
    <w:charset w:val="00"/>
    <w:family w:val="roman"/>
    <w:pitch w:val="default"/>
  </w:font>
  <w:font w:name="Cambria Italic">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564"/>
        </w:tabs>
        <w:ind w:left="1013" w:hanging="29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564"/>
        </w:tabs>
        <w:ind w:left="1733" w:hanging="2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564"/>
        </w:tabs>
        <w:ind w:left="2453" w:hanging="29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564"/>
        </w:tabs>
        <w:ind w:left="3173" w:hanging="29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564"/>
        </w:tabs>
        <w:ind w:left="3893" w:hanging="2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564"/>
        </w:tabs>
        <w:ind w:left="4613" w:hanging="29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564"/>
        </w:tabs>
        <w:ind w:left="5333" w:hanging="29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564"/>
        </w:tabs>
        <w:ind w:left="6053" w:hanging="2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
  </w:abstractNum>
  <w:abstractNum w:abstractNumId="21">
    <w:multiLevelType w:val="hybridMultilevel"/>
    <w:styleLink w:val="Imported Style 1.0"/>
    <w:lvl w:ilvl="0">
      <w:start w:val="1"/>
      <w:numFmt w:val="bullet"/>
      <w:suff w:val="tab"/>
      <w:lvlText w:val="•"/>
      <w:lvlJc w:val="left"/>
      <w:pPr>
        <w:ind w:left="964" w:hanging="39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535"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53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794"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037"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279" w:hanging="36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6522"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764" w:hanging="36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9007" w:hanging="36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upp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4"/>
  </w:abstractNum>
  <w:abstractNum w:abstractNumId="29">
    <w:multiLevelType w:val="hybridMultilevel"/>
    <w:styleLink w:val="Imported Style 14"/>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5"/>
  </w:abstractNum>
  <w:abstractNum w:abstractNumId="31">
    <w:multiLevelType w:val="hybridMultilevel"/>
    <w:styleLink w:val="Imported Style 15"/>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numStyleLink w:val="Imported Style 16"/>
  </w:abstractNum>
  <w:abstractNum w:abstractNumId="33">
    <w:multiLevelType w:val="hybridMultilevel"/>
    <w:styleLink w:val="Imported Style 16"/>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numStyleLink w:val="Imported Style 17"/>
  </w:abstractNum>
  <w:abstractNum w:abstractNumId="35">
    <w:multiLevelType w:val="hybridMultilevel"/>
    <w:styleLink w:val="Imported Style 17"/>
    <w:lvl w:ilvl="0">
      <w:start w:val="1"/>
      <w:numFmt w:val="decimal"/>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startOverride w:val="2"/>
    </w:lvlOverride>
  </w:num>
  <w:num w:numId="6">
    <w:abstractNumId w:val="5"/>
  </w:num>
  <w:num w:numId="7">
    <w:abstractNumId w:val="4"/>
  </w:num>
  <w:num w:numId="8">
    <w:abstractNumId w:val="4"/>
    <w:lvlOverride w:ilvl="0">
      <w:startOverride w:val="3"/>
    </w:lvlOverride>
  </w:num>
  <w:num w:numId="9">
    <w:abstractNumId w:val="7"/>
  </w:num>
  <w:num w:numId="10">
    <w:abstractNumId w:val="6"/>
  </w:num>
  <w:num w:numId="11">
    <w:abstractNumId w:val="0"/>
    <w:lvlOverride w:ilvl="0">
      <w:startOverride w:val="1"/>
    </w:lvlOverride>
  </w:num>
  <w:num w:numId="12">
    <w:abstractNumId w:val="9"/>
  </w:num>
  <w:num w:numId="13">
    <w:abstractNumId w:val="8"/>
  </w:num>
  <w:num w:numId="14">
    <w:abstractNumId w:val="8"/>
    <w:lvlOverride w:ilvl="0">
      <w:startOverride w:val="5"/>
    </w:lvlOverride>
  </w:num>
  <w:num w:numId="15">
    <w:abstractNumId w:val="0"/>
    <w:lvlOverride w:ilvl="0">
      <w:startOverride w:val="1"/>
    </w:lvlOverride>
  </w:num>
  <w:num w:numId="16">
    <w:abstractNumId w:val="4"/>
    <w:lvlOverride w:ilvl="0">
      <w:startOverride w:val="3"/>
    </w:lvlOverride>
  </w:num>
  <w:num w:numId="17">
    <w:abstractNumId w:val="11"/>
  </w:num>
  <w:num w:numId="18">
    <w:abstractNumId w:val="10"/>
  </w:num>
  <w:num w:numId="19">
    <w:abstractNumId w:val="13"/>
  </w:num>
  <w:num w:numId="20">
    <w:abstractNumId w:val="12"/>
  </w:num>
  <w:num w:numId="21">
    <w:abstractNumId w:val="12"/>
    <w:lvlOverride w:ilvl="0">
      <w:startOverride w:val="4"/>
    </w:lvlOverride>
  </w:num>
  <w:num w:numId="22">
    <w:abstractNumId w:val="15"/>
  </w:num>
  <w:num w:numId="23">
    <w:abstractNumId w:val="14"/>
  </w:num>
  <w:num w:numId="24">
    <w:abstractNumId w:val="14"/>
    <w:lvlOverride w:ilvl="0">
      <w:startOverride w:val="6"/>
    </w:lvlOverride>
  </w:num>
  <w:num w:numId="25">
    <w:abstractNumId w:val="0"/>
    <w:lvlOverride w:ilvl="0">
      <w:startOverride w:val="1"/>
    </w:lvlOverride>
  </w:num>
  <w:num w:numId="26">
    <w:abstractNumId w:val="6"/>
    <w:lvlOverride w:ilvl="1">
      <w:startOverride w:val="1"/>
    </w:lvlOverride>
  </w:num>
  <w:num w:numId="27">
    <w:abstractNumId w:val="0"/>
    <w:lvlOverride w:ilvl="0">
      <w:startOverride w:val="7"/>
    </w:lvlOverride>
  </w:num>
  <w:num w:numId="28">
    <w:abstractNumId w:val="0"/>
    <w:lvlOverride w:ilvl="0">
      <w:startOverride w:val="1"/>
    </w:lvlOverride>
  </w:num>
  <w:num w:numId="29">
    <w:abstractNumId w:val="6"/>
    <w:lvlOverride w:ilvl="1">
      <w:startOverride w:val="1"/>
    </w:lvlOverride>
  </w:num>
  <w:num w:numId="30">
    <w:abstractNumId w:val="0"/>
    <w:lvlOverride w:ilvl="0">
      <w:startOverride w:val="2"/>
    </w:lvlOverride>
  </w:num>
  <w:num w:numId="31">
    <w:abstractNumId w:val="4"/>
    <w:lvlOverride w:ilvl="0">
      <w:startOverride w:val="3"/>
    </w:lvlOverride>
  </w:num>
  <w:num w:numId="32">
    <w:abstractNumId w:val="2"/>
    <w:lvlOverride w:ilvl="0">
      <w:startOverride w:val="2"/>
    </w:lvlOverride>
  </w:num>
  <w:num w:numId="33">
    <w:abstractNumId w:val="4"/>
    <w:lvlOverride w:ilvl="0">
      <w:startOverride w:val="3"/>
    </w:lvlOverride>
  </w:num>
  <w:num w:numId="34">
    <w:abstractNumId w:val="0"/>
    <w:lvlOverride w:ilvl="1">
      <w:startOverride w:val="2"/>
    </w:lvlOverride>
  </w:num>
  <w:num w:numId="35">
    <w:abstractNumId w:val="12"/>
    <w:lvlOverride w:ilvl="0">
      <w:startOverride w:val="4"/>
    </w:lvlOverride>
  </w:num>
  <w:num w:numId="36">
    <w:abstractNumId w:val="6"/>
    <w:lvlOverride w:ilvl="1">
      <w:startOverride w:val="1"/>
    </w:lvlOverride>
  </w:num>
  <w:num w:numId="37">
    <w:abstractNumId w:val="8"/>
    <w:lvlOverride w:ilvl="0">
      <w:startOverride w:val="5"/>
    </w:lvlOverride>
  </w:num>
  <w:num w:numId="38">
    <w:abstractNumId w:val="6"/>
    <w:lvlOverride w:ilvl="1">
      <w:startOverride w:val="1"/>
    </w:lvlOverride>
  </w:num>
  <w:num w:numId="39">
    <w:abstractNumId w:val="8"/>
    <w:lvlOverride w:ilvl="0">
      <w:startOverride w:val="7"/>
    </w:lvlOverride>
  </w:num>
  <w:num w:numId="40">
    <w:abstractNumId w:val="0"/>
    <w:lvlOverride w:ilvl="0">
      <w:startOverride w:val="1"/>
    </w:lvlOverride>
  </w:num>
  <w:num w:numId="41">
    <w:abstractNumId w:val="6"/>
    <w:lvlOverride w:ilvl="1">
      <w:startOverride w:val="1"/>
    </w:lvlOverride>
  </w:num>
  <w:num w:numId="42">
    <w:abstractNumId w:val="4"/>
    <w:lvlOverride w:ilvl="0">
      <w:startOverride w:val="3"/>
    </w:lvlOverride>
  </w:num>
  <w:num w:numId="43">
    <w:abstractNumId w:val="6"/>
    <w:lvlOverride w:ilvl="1">
      <w:startOverride w:val="1"/>
    </w:lvlOverride>
  </w:num>
  <w:num w:numId="44">
    <w:abstractNumId w:val="6"/>
    <w:lvlOverride w:ilvl="0">
      <w:startOverride w:val="1"/>
    </w:lvlOverride>
  </w:num>
  <w:num w:numId="45">
    <w:abstractNumId w:val="0"/>
    <w:lvlOverride w:ilvl="0">
      <w:startOverride w:val="1"/>
    </w:lvlOverride>
  </w:num>
  <w:num w:numId="46">
    <w:abstractNumId w:val="2"/>
    <w:lvlOverride w:ilvl="0">
      <w:startOverride w:val="2"/>
    </w:lvlOverride>
  </w:num>
  <w:num w:numId="47">
    <w:abstractNumId w:val="17"/>
  </w:num>
  <w:num w:numId="48">
    <w:abstractNumId w:val="16"/>
  </w:num>
  <w:num w:numId="49">
    <w:abstractNumId w:val="4"/>
    <w:lvlOverride w:ilvl="0">
      <w:startOverride w:val="3"/>
    </w:lvlOverride>
  </w:num>
  <w:num w:numId="50">
    <w:abstractNumId w:val="16"/>
    <w:lvlOverride w:ilvl="1">
      <w:startOverride w:val="1"/>
    </w:lvlOverride>
  </w:num>
  <w:num w:numId="51">
    <w:abstractNumId w:val="12"/>
    <w:lvlOverride w:ilvl="0">
      <w:startOverride w:val="4"/>
    </w:lvlOverride>
  </w:num>
  <w:num w:numId="52">
    <w:abstractNumId w:val="8"/>
    <w:lvlOverride w:ilvl="0">
      <w:startOverride w:val="5"/>
    </w:lvlOverride>
  </w:num>
  <w:num w:numId="53">
    <w:abstractNumId w:val="16"/>
    <w:lvlOverride w:ilvl="1">
      <w:startOverride w:val="1"/>
    </w:lvlOverride>
  </w:num>
  <w:num w:numId="54">
    <w:abstractNumId w:val="19"/>
  </w:num>
  <w:num w:numId="55">
    <w:abstractNumId w:val="18"/>
  </w:num>
  <w:num w:numId="56">
    <w:abstractNumId w:val="18"/>
    <w:lvlOverride w:ilvl="0">
      <w:startOverride w:val="7"/>
    </w:lvlOverride>
  </w:num>
  <w:num w:numId="57">
    <w:abstractNumId w:val="0"/>
    <w:lvlOverride w:ilvl="0">
      <w:startOverride w:val="1"/>
    </w:lvlOverride>
  </w:num>
  <w:num w:numId="58">
    <w:abstractNumId w:val="4"/>
    <w:lvlOverride w:ilvl="0">
      <w:startOverride w:val="3"/>
    </w:lvlOverride>
  </w:num>
  <w:num w:numId="59">
    <w:abstractNumId w:val="12"/>
    <w:lvlOverride w:ilvl="0">
      <w:startOverride w:val="4"/>
    </w:lvlOverride>
  </w:num>
  <w:num w:numId="60">
    <w:abstractNumId w:val="8"/>
    <w:lvlOverride w:ilvl="0">
      <w:startOverride w:val="5"/>
    </w:lvlOverride>
  </w:num>
  <w:num w:numId="61">
    <w:abstractNumId w:val="0"/>
    <w:lvlOverride w:ilvl="0">
      <w:startOverride w:val="1"/>
    </w:lvlOverride>
  </w:num>
  <w:num w:numId="62">
    <w:abstractNumId w:val="12"/>
    <w:lvlOverride w:ilvl="0">
      <w:startOverride w:val="4"/>
    </w:lvlOverride>
  </w:num>
  <w:num w:numId="63">
    <w:abstractNumId w:val="8"/>
    <w:lvlOverride w:ilvl="0">
      <w:startOverride w:val="5"/>
    </w:lvlOverride>
  </w:num>
  <w:num w:numId="64">
    <w:abstractNumId w:val="0"/>
    <w:lvlOverride w:ilvl="0">
      <w:startOverride w:val="1"/>
    </w:lvlOverride>
  </w:num>
  <w:num w:numId="65">
    <w:abstractNumId w:val="2"/>
    <w:lvlOverride w:ilvl="0">
      <w:startOverride w:val="2"/>
    </w:lvlOverride>
  </w:num>
  <w:num w:numId="66">
    <w:abstractNumId w:val="16"/>
    <w:lvlOverride w:ilvl="0">
      <w:startOverride w:val="1"/>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7">
    <w:abstractNumId w:val="4"/>
    <w:lvlOverride w:ilvl="0">
      <w:startOverride w:val="3"/>
    </w:lvlOverride>
  </w:num>
  <w:num w:numId="68">
    <w:abstractNumId w:val="12"/>
    <w:lvlOverride w:ilvl="0">
      <w:startOverride w:val="4"/>
    </w:lvlOverride>
  </w:num>
  <w:num w:numId="69">
    <w:abstractNumId w:val="14"/>
    <w:lvlOverride w:ilvl="0">
      <w:startOverride w:val="6"/>
    </w:lvlOverride>
  </w:num>
  <w:num w:numId="70">
    <w:abstractNumId w:val="0"/>
    <w:lvlOverride w:ilvl="0">
      <w:startOverride w:val="1"/>
    </w:lvlOverride>
  </w:num>
  <w:num w:numId="71">
    <w:abstractNumId w:val="2"/>
    <w:lvlOverride w:ilvl="0">
      <w:startOverride w:val="2"/>
    </w:lvlOverride>
  </w:num>
  <w:num w:numId="72">
    <w:abstractNumId w:val="6"/>
    <w:lvlOverride w:ilvl="0">
      <w:startOverride w:val="1"/>
    </w:lvlOverride>
  </w:num>
  <w:num w:numId="73">
    <w:abstractNumId w:val="4"/>
    <w:lvlOverride w:ilvl="0">
      <w:startOverride w:val="3"/>
    </w:lvlOverride>
  </w:num>
  <w:num w:numId="74">
    <w:abstractNumId w:val="21"/>
  </w:num>
  <w:num w:numId="75">
    <w:abstractNumId w:val="20"/>
  </w:num>
  <w:num w:numId="76">
    <w:abstractNumId w:val="20"/>
    <w:lvlOverride w:ilvl="0">
      <w:lvl w:ilvl="0">
        <w:start w:val="1"/>
        <w:numFmt w:val="bullet"/>
        <w:suff w:val="tab"/>
        <w:lvlText w:val="•"/>
        <w:lvlJc w:val="left"/>
        <w:pPr>
          <w:ind w:left="957" w:hanging="38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516"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18" w:hanging="32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75"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4018"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5260" w:hanging="34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6503"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7745" w:hanging="341"/>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8988" w:hanging="342"/>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7">
    <w:abstractNumId w:val="12"/>
    <w:lvlOverride w:ilvl="0">
      <w:startOverride w:val="4"/>
    </w:lvlOverride>
  </w:num>
  <w:num w:numId="78">
    <w:abstractNumId w:val="0"/>
    <w:lvlOverride w:ilvl="0">
      <w:startOverride w:val="1"/>
    </w:lvlOverride>
  </w:num>
  <w:num w:numId="79">
    <w:abstractNumId w:val="16"/>
    <w:lvlOverride w:ilvl="0">
      <w:startOverride w:val="1"/>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0">
    <w:abstractNumId w:val="2"/>
    <w:lvlOverride w:ilvl="0">
      <w:startOverride w:val="2"/>
    </w:lvlOverride>
  </w:num>
  <w:num w:numId="81">
    <w:abstractNumId w:val="2"/>
    <w:lvlOverride w:ilvl="0">
      <w:startOverride w:val="3"/>
    </w:lvlOverride>
  </w:num>
  <w:num w:numId="82">
    <w:abstractNumId w:val="16"/>
    <w:lvlOverride w:ilvl="0">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3">
    <w:abstractNumId w:val="12"/>
    <w:lvlOverride w:ilvl="0">
      <w:startOverride w:val="4"/>
    </w:lvlOverride>
  </w:num>
  <w:num w:numId="84">
    <w:abstractNumId w:val="8"/>
    <w:lvlOverride w:ilvl="0">
      <w:startOverride w:val="5"/>
    </w:lvlOverride>
  </w:num>
  <w:num w:numId="85">
    <w:abstractNumId w:val="0"/>
    <w:lvlOverride w:ilvl="0">
      <w:startOverride w:val="1"/>
    </w:lvlOverride>
  </w:num>
  <w:num w:numId="86">
    <w:abstractNumId w:val="12"/>
    <w:lvlOverride w:ilvl="0">
      <w:startOverride w:val="4"/>
    </w:lvlOverride>
  </w:num>
  <w:num w:numId="87">
    <w:abstractNumId w:val="18"/>
    <w:lvlOverride w:ilvl="0">
      <w:startOverride w:val="7"/>
    </w:lvlOverride>
  </w:num>
  <w:num w:numId="88">
    <w:abstractNumId w:val="23"/>
  </w:num>
  <w:num w:numId="89">
    <w:abstractNumId w:val="22"/>
  </w:num>
  <w:num w:numId="90">
    <w:abstractNumId w:val="25"/>
  </w:num>
  <w:num w:numId="91">
    <w:abstractNumId w:val="24"/>
  </w:num>
  <w:num w:numId="92">
    <w:abstractNumId w:val="24"/>
    <w:lvlOverride w:ilvl="0">
      <w:startOverride w:val="8"/>
    </w:lvlOverride>
  </w:num>
  <w:num w:numId="93">
    <w:abstractNumId w:val="22"/>
    <w:lvlOverride w:ilvl="1">
      <w:startOverride w:val="1"/>
    </w:lvlOverride>
  </w:num>
  <w:num w:numId="94">
    <w:abstractNumId w:val="24"/>
    <w:lvlOverride w:ilvl="0">
      <w:startOverride w:val="11"/>
    </w:lvlOverride>
  </w:num>
  <w:num w:numId="95">
    <w:abstractNumId w:val="27"/>
  </w:num>
  <w:num w:numId="96">
    <w:abstractNumId w:val="26"/>
  </w:num>
  <w:num w:numId="97">
    <w:abstractNumId w:val="26"/>
    <w:lvlOverride w:ilvl="0">
      <w:startOverride w:val="12"/>
    </w:lvlOverride>
  </w:num>
  <w:num w:numId="98">
    <w:abstractNumId w:val="0"/>
    <w:lvlOverride w:ilvl="0">
      <w:startOverride w:val="1"/>
    </w:lvlOverride>
  </w:num>
  <w:num w:numId="99">
    <w:abstractNumId w:val="12"/>
    <w:lvlOverride w:ilvl="0">
      <w:startOverride w:val="4"/>
    </w:lvlOverride>
  </w:num>
  <w:num w:numId="100">
    <w:abstractNumId w:val="18"/>
    <w:lvlOverride w:ilvl="0">
      <w:startOverride w:val="7"/>
    </w:lvlOverride>
  </w:num>
  <w:num w:numId="101">
    <w:abstractNumId w:val="16"/>
    <w:lvlOverride w:ilvl="0">
      <w:lvl w:ilvl="0">
        <w:start w:val="1"/>
        <w:numFmt w:val="lowerRoman"/>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start w:val="1"/>
        <w:numFmt w:val="lowerRoman"/>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02">
    <w:abstractNumId w:val="18"/>
    <w:lvlOverride w:ilvl="0">
      <w:startOverride w:val="10"/>
    </w:lvlOverride>
  </w:num>
  <w:num w:numId="103">
    <w:abstractNumId w:val="6"/>
    <w:lvlOverride w:ilvl="0">
      <w:startOverride w:val="1"/>
    </w:lvlOverride>
  </w:num>
  <w:num w:numId="104">
    <w:abstractNumId w:val="29"/>
  </w:num>
  <w:num w:numId="105">
    <w:abstractNumId w:val="28"/>
  </w:num>
  <w:num w:numId="106">
    <w:abstractNumId w:val="28"/>
    <w:lvlOverride w:ilvl="0">
      <w:startOverride w:val="2"/>
    </w:lvlOverride>
  </w:num>
  <w:num w:numId="107">
    <w:abstractNumId w:val="22"/>
    <w:lvlOverride w:ilvl="0">
      <w:startOverride w:val="1"/>
      <w:lvl w:ilvl="0">
        <w:start w:val="1"/>
        <w:numFmt w:val="lowerLetter"/>
        <w:suff w:val="tab"/>
        <w:lvlText w:val="%1."/>
        <w:lvlJc w:val="left"/>
        <w:pPr>
          <w:ind w:left="7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ind w:left="14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ind w:left="28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ind w:left="360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ind w:left="504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ind w:left="5760" w:hanging="48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08">
    <w:abstractNumId w:val="31"/>
  </w:num>
  <w:num w:numId="109">
    <w:abstractNumId w:val="30"/>
  </w:num>
  <w:num w:numId="110">
    <w:abstractNumId w:val="30"/>
    <w:lvlOverride w:ilvl="0">
      <w:startOverride w:val="3"/>
    </w:lvlOverride>
  </w:num>
  <w:num w:numId="111">
    <w:abstractNumId w:val="33"/>
  </w:num>
  <w:num w:numId="112">
    <w:abstractNumId w:val="32"/>
  </w:num>
  <w:num w:numId="113">
    <w:abstractNumId w:val="32"/>
    <w:lvlOverride w:ilvl="0">
      <w:startOverride w:val="4"/>
    </w:lvlOverride>
  </w:num>
  <w:num w:numId="114">
    <w:abstractNumId w:val="35"/>
  </w:num>
  <w:num w:numId="115">
    <w:abstractNumId w:val="34"/>
  </w:num>
  <w:num w:numId="116">
    <w:abstractNumId w:val="34"/>
    <w:lvlOverride w:ilvl="0">
      <w:startOverride w:val="5"/>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Reader Note">
    <w:name w:val="Reader Note"/>
    <w:next w:val="Reader Note"/>
    <w:pPr>
      <w:keepNext w:val="0"/>
      <w:keepLines w:val="0"/>
      <w:pageBreakBefore w:val="0"/>
      <w:widowControl w:val="1"/>
      <w:pBdr>
        <w:top w:val="nil"/>
        <w:left w:val="single" w:color="3f6b52" w:sz="18" w:space="6" w:shadow="0" w:frame="0"/>
        <w:bottom w:val="nil"/>
        <w:right w:val="nil"/>
      </w:pBdr>
      <w:shd w:val="clear" w:color="auto" w:fill="f4f1e8"/>
      <w:suppressAutoHyphens w:val="0"/>
      <w:bidi w:val="0"/>
      <w:spacing w:before="160" w:after="160" w:line="240" w:lineRule="auto"/>
      <w:ind w:left="288" w:right="288" w:firstLine="0"/>
      <w:jc w:val="left"/>
      <w:outlineLvl w:val="9"/>
    </w:pPr>
    <w:rPr>
      <w:rFonts w:ascii="Cambria Italic" w:cs="Arial Unicode MS" w:hAnsi="Cambria Italic" w:eastAsia="Arial Unicode MS"/>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48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noFill/>
      </w14:textOutline>
      <w14:textFill>
        <w14:solidFill>
          <w14:srgbClr w14:val="4F81BD"/>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200" w:after="0" w:line="240" w:lineRule="auto"/>
      <w:ind w:left="0" w:right="0" w:firstLine="0"/>
      <w:jc w:val="left"/>
      <w:outlineLvl w:val="1"/>
    </w:pPr>
    <w:rPr>
      <w:rFonts w:ascii="Calibri" w:cs="Calibri" w:hAnsi="Calibri" w:eastAsia="Calibri"/>
      <w:b w:val="1"/>
      <w:bCs w:val="1"/>
      <w:i w:val="0"/>
      <w:iCs w:val="0"/>
      <w:caps w:val="0"/>
      <w:smallCaps w:val="0"/>
      <w:strike w:val="0"/>
      <w:dstrike w:val="0"/>
      <w:outline w:val="0"/>
      <w:color w:val="4f81bd"/>
      <w:spacing w:val="0"/>
      <w:kern w:val="0"/>
      <w:position w:val="0"/>
      <w:sz w:val="28"/>
      <w:szCs w:val="28"/>
      <w:u w:val="none" w:color="4f81bd"/>
      <w:shd w:val="nil" w:color="auto" w:fill="auto"/>
      <w:vertAlign w:val="baseline"/>
      <w14:textOutline>
        <w14:noFill/>
      </w14:textOutline>
      <w14:textFill>
        <w14:solidFill>
          <w14:srgbClr w14:val="4F81BD"/>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Cambria" w:cs="Arial Unicode MS" w:hAnsi="Cambria"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numbering" w:styleId="Imported Style 3">
    <w:name w:val="Imported Style 3"/>
    <w:pPr>
      <w:numPr>
        <w:numId w:val="6"/>
      </w:numPr>
    </w:pPr>
  </w:style>
  <w:style w:type="paragraph" w:styleId="Block Text">
    <w:name w:val="Block Text"/>
    <w:next w:val="Body Text"/>
    <w:pPr>
      <w:keepNext w:val="0"/>
      <w:keepLines w:val="0"/>
      <w:pageBreakBefore w:val="0"/>
      <w:widowControl w:val="1"/>
      <w:shd w:val="clear" w:color="auto" w:fill="auto"/>
      <w:suppressAutoHyphens w:val="0"/>
      <w:bidi w:val="0"/>
      <w:spacing w:before="100" w:after="100" w:line="240" w:lineRule="auto"/>
      <w:ind w:left="480" w:right="48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Imported Style 4">
    <w:name w:val="Imported Style 4"/>
    <w:pPr>
      <w:numPr>
        <w:numId w:val="9"/>
      </w:numPr>
    </w:pPr>
  </w:style>
  <w:style w:type="numbering" w:styleId="Imported Style 5">
    <w:name w:val="Imported Style 5"/>
    <w:pPr>
      <w:numPr>
        <w:numId w:val="12"/>
      </w:numPr>
    </w:pPr>
  </w:style>
  <w:style w:type="paragraph" w:styleId="Trustee Note">
    <w:name w:val="Trustee Note"/>
    <w:next w:val="Trustee Note"/>
    <w:pPr>
      <w:keepNext w:val="0"/>
      <w:keepLines w:val="0"/>
      <w:pageBreakBefore w:val="0"/>
      <w:widowControl w:val="1"/>
      <w:pBdr>
        <w:top w:val="nil"/>
        <w:left w:val="single" w:color="8a6a2f" w:sz="18" w:space="6" w:shadow="0" w:frame="0"/>
        <w:bottom w:val="nil"/>
        <w:right w:val="nil"/>
      </w:pBdr>
      <w:shd w:val="clear" w:color="auto" w:fill="efefe4"/>
      <w:suppressAutoHyphens w:val="0"/>
      <w:bidi w:val="0"/>
      <w:spacing w:before="160" w:after="160" w:line="240" w:lineRule="auto"/>
      <w:ind w:left="288" w:right="288" w:firstLine="0"/>
      <w:jc w:val="left"/>
      <w:outlineLvl w:val="9"/>
    </w:pPr>
    <w:rPr>
      <w:rFonts w:ascii="Cambria Italic" w:cs="Arial Unicode MS" w:hAnsi="Cambria Italic" w:eastAsia="Arial Unicode MS"/>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lang w:val="en-US"/>
      <w14:textFill>
        <w14:solidFill>
          <w14:srgbClr w14:val="000000"/>
        </w14:solidFill>
      </w14:textFill>
    </w:rPr>
  </w:style>
  <w:style w:type="numbering" w:styleId="Imported Style 6">
    <w:name w:val="Imported Style 6"/>
    <w:pPr>
      <w:numPr>
        <w:numId w:val="17"/>
      </w:numPr>
    </w:pPr>
  </w:style>
  <w:style w:type="numbering" w:styleId="Imported Style 7">
    <w:name w:val="Imported Style 7"/>
    <w:pPr>
      <w:numPr>
        <w:numId w:val="19"/>
      </w:numPr>
    </w:pPr>
  </w:style>
  <w:style w:type="numbering" w:styleId="Imported Style 8">
    <w:name w:val="Imported Style 8"/>
    <w:pPr>
      <w:numPr>
        <w:numId w:val="22"/>
      </w:numPr>
    </w:pPr>
  </w:style>
  <w:style w:type="numbering" w:styleId="Imported Style 9">
    <w:name w:val="Imported Style 9"/>
    <w:pPr>
      <w:numPr>
        <w:numId w:val="47"/>
      </w:numPr>
    </w:pPr>
  </w:style>
  <w:style w:type="numbering" w:styleId="Imported Style 10">
    <w:name w:val="Imported Style 10"/>
    <w:pPr>
      <w:numPr>
        <w:numId w:val="54"/>
      </w:numPr>
    </w:pPr>
  </w:style>
  <w:style w:type="numbering" w:styleId="Imported Style 1.0">
    <w:name w:val="Imported Style 1.0"/>
    <w:pPr>
      <w:numPr>
        <w:numId w:val="74"/>
      </w:numPr>
    </w:pPr>
  </w:style>
  <w:style w:type="numbering" w:styleId="Imported Style 11">
    <w:name w:val="Imported Style 11"/>
    <w:pPr>
      <w:numPr>
        <w:numId w:val="88"/>
      </w:numPr>
    </w:pPr>
  </w:style>
  <w:style w:type="numbering" w:styleId="Imported Style 12">
    <w:name w:val="Imported Style 12"/>
    <w:pPr>
      <w:numPr>
        <w:numId w:val="90"/>
      </w:numPr>
    </w:pPr>
  </w:style>
  <w:style w:type="numbering" w:styleId="Imported Style 13">
    <w:name w:val="Imported Style 13"/>
    <w:pPr>
      <w:numPr>
        <w:numId w:val="95"/>
      </w:numPr>
    </w:pPr>
  </w:style>
  <w:style w:type="numbering" w:styleId="Imported Style 14">
    <w:name w:val="Imported Style 14"/>
    <w:pPr>
      <w:numPr>
        <w:numId w:val="104"/>
      </w:numPr>
    </w:pPr>
  </w:style>
  <w:style w:type="numbering" w:styleId="Imported Style 15">
    <w:name w:val="Imported Style 15"/>
    <w:pPr>
      <w:numPr>
        <w:numId w:val="108"/>
      </w:numPr>
    </w:pPr>
  </w:style>
  <w:style w:type="numbering" w:styleId="Imported Style 16">
    <w:name w:val="Imported Style 16"/>
    <w:pPr>
      <w:numPr>
        <w:numId w:val="111"/>
      </w:numPr>
    </w:pPr>
  </w:style>
  <w:style w:type="numbering" w:styleId="Imported Style 17">
    <w:name w:val="Imported Style 17"/>
    <w:pPr>
      <w:numPr>
        <w:numId w:val="114"/>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