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2"/>
        <w:ind w:left="0" w:firstLine="0"/>
      </w:pPr>
      <w:r>
        <w:rPr>
          <w:outline w:val="0"/>
          <w:color w:val="010101"/>
          <w:u w:color="010101"/>
          <w:rtl w:val="0"/>
          <w14:textFill>
            <w14:solidFill>
              <w14:srgbClr w14:val="010101"/>
            </w14:solidFill>
          </w14:textFill>
        </w:rPr>
        <w:t>{trustName} JOINT TRUST</w:t>
      </w:r>
    </w:p>
    <w:p>
      <w:pPr>
        <w:pStyle w:val="Body"/>
        <w:spacing w:before="189"/>
        <w:ind w:left="362" w:firstLine="0"/>
        <w:rPr>
          <w:b w:val="1"/>
          <w:bCs w:val="1"/>
          <w:sz w:val="27"/>
          <w:szCs w:val="27"/>
        </w:rPr>
      </w:pPr>
      <w:r>
        <w:rPr>
          <w:b w:val="1"/>
          <w:bCs w:val="1"/>
          <w:outline w:val="0"/>
          <w:color w:val="010101"/>
          <w:sz w:val="27"/>
          <w:szCs w:val="27"/>
          <w:u w:color="010101"/>
          <w:rtl w:val="0"/>
          <w:lang w:val="en-US"/>
          <w14:textFill>
            <w14:solidFill>
              <w14:srgbClr w14:val="010101"/>
            </w14:solidFill>
          </w14:textFill>
        </w:rPr>
        <w:t>Dated {trustDate}</w:t>
      </w:r>
    </w:p>
    <w:p>
      <w:pPr>
        <w:pStyle w:val="Body"/>
        <w:spacing w:before="61" w:line="291" w:lineRule="auto"/>
        <w:ind w:left="366" w:hanging="2"/>
        <w:rPr>
          <w:sz w:val="26"/>
          <w:szCs w:val="26"/>
        </w:rPr>
      </w:pPr>
      <w:r>
        <w:rPr>
          <w:outline w:val="0"/>
          <w:color w:val="030303"/>
          <w:sz w:val="26"/>
          <w:szCs w:val="26"/>
          <w:u w:color="030303"/>
          <w:rtl w:val="0"/>
          <w:lang w:val="en-US"/>
          <w14:textFill>
            <w14:solidFill>
              <w14:srgbClr w14:val="030303"/>
            </w14:solidFill>
          </w14:textFill>
        </w:rPr>
        <w:t>A "qualifying trust" within the meaning of Section 11.13(j)(3) of the Texas Tax Code and Section 41.0021 of the Texas Property Code.</w:t>
      </w:r>
    </w:p>
    <w:p>
      <w:pPr>
        <w:pStyle w:val="Body"/>
        <w:spacing w:before="221" w:line="316" w:lineRule="auto"/>
        <w:ind w:left="353" w:right="362" w:hanging="2"/>
        <w:rPr>
          <w:rFonts w:ascii="Arial" w:cs="Arial" w:hAnsi="Arial" w:eastAsia="Arial"/>
          <w:i w:val="1"/>
          <w:iCs w:val="1"/>
          <w:sz w:val="24"/>
          <w:szCs w:val="24"/>
        </w:rPr>
      </w:pPr>
      <w:r>
        <w:rPr>
          <w:rFonts w:ascii="Arial" w:hAnsi="Arial"/>
          <w:i w:val="1"/>
          <w:iCs w:val="1"/>
          <w:outline w:val="0"/>
          <w:color w:val="030303"/>
          <w:sz w:val="24"/>
          <w:szCs w:val="24"/>
          <w:u w:color="030303"/>
          <w:rtl w:val="0"/>
          <w:lang w:val="en-US"/>
          <w14:textFill>
            <w14:solidFill>
              <w14:srgbClr w14:val="030303"/>
            </w14:solidFill>
          </w14:textFill>
        </w:rPr>
        <w:t>Please see Article One, Section C of this Trust Agreement for all provisions that make this a Qualifying Trust.</w:t>
      </w:r>
    </w:p>
    <w:p>
      <w:pPr>
        <w:pStyle w:val="Body"/>
        <w:spacing w:before="186" w:line="290" w:lineRule="auto"/>
        <w:ind w:left="358" w:right="362" w:firstLine="2"/>
        <w:rPr>
          <w:outline w:val="0"/>
          <w:color w:val="030303"/>
          <w:sz w:val="26"/>
          <w:szCs w:val="26"/>
          <w:u w:color="030303"/>
          <w14:textFill>
            <w14:solidFill>
              <w14:srgbClr w14:val="030303"/>
            </w14:solidFill>
          </w14:textFill>
        </w:rPr>
      </w:pPr>
      <w:r>
        <w:rPr>
          <w:outline w:val="0"/>
          <w:color w:val="030303"/>
          <w:sz w:val="26"/>
          <w:szCs w:val="26"/>
          <w:u w:color="030303"/>
          <w:rtl w:val="0"/>
          <w:lang w:val="en-US"/>
          <w14:textFill>
            <w14:solidFill>
              <w14:srgbClr w14:val="030303"/>
            </w14:solidFill>
          </w14:textFill>
        </w:rPr>
        <w:t xml:space="preserve">We, {husbandFullName} and {wifeFullName}, of </w:t>
      </w:r>
      <w:r>
        <w:rPr>
          <w:outline w:val="0"/>
          <w:color w:val="030303"/>
          <w:sz w:val="26"/>
          <w:szCs w:val="26"/>
          <w:u w:color="030303"/>
          <w:rtl w:val="0"/>
          <w:lang w:val="en-US"/>
          <w14:textFill>
            <w14:solidFill>
              <w14:srgbClr w14:val="030303"/>
            </w14:solidFill>
          </w14:textFill>
        </w:rPr>
        <w:t>{county}</w:t>
      </w:r>
      <w:r>
        <w:rPr>
          <w:outline w:val="0"/>
          <w:color w:val="030303"/>
          <w:sz w:val="26"/>
          <w:szCs w:val="26"/>
          <w:u w:color="030303"/>
          <w:rtl w:val="0"/>
          <w:lang w:val="en-US"/>
          <w14:textFill>
            <w14:solidFill>
              <w14:srgbClr w14:val="030303"/>
            </w14:solidFill>
          </w14:textFill>
        </w:rPr>
        <w:t>, Texas (the "Grantors"), hereby transfer to {husbandFullName} and {wifeFullName}, as trustees, the property identified in the attached Schedule of Property. All such property, together with any property later transferred to this Trust and all income and reinvestments thereof, shall be held and administered according to the terms of this Trust.</w:t>
      </w:r>
    </w:p>
    <w:p>
      <w:pPr>
        <w:pStyle w:val="Body"/>
        <w:spacing w:before="36"/>
        <w:rPr>
          <w:sz w:val="20"/>
          <w:szCs w:val="20"/>
        </w:rPr>
      </w:pPr>
      <w:r>
        <mc:AlternateContent>
          <mc:Choice Requires="wps">
            <w:drawing xmlns:a="http://schemas.openxmlformats.org/drawingml/2006/main">
              <wp:anchor distT="0" distB="0" distL="0" distR="0" simplePos="0" relativeHeight="251659264" behindDoc="0" locked="0" layoutInCell="1" allowOverlap="1">
                <wp:simplePos x="0" y="0"/>
                <wp:positionH relativeFrom="column">
                  <wp:posOffset>285750</wp:posOffset>
                </wp:positionH>
                <wp:positionV relativeFrom="line">
                  <wp:posOffset>176269</wp:posOffset>
                </wp:positionV>
                <wp:extent cx="6743700" cy="12700"/>
                <wp:effectExtent l="0" t="0" r="0" b="0"/>
                <wp:wrapTopAndBottom distT="0" distB="0"/>
                <wp:docPr id="1073741825"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26" style="visibility:visible;position:absolute;margin-left:22.5pt;margin-top:13.9pt;width:531.0pt;height:1.0pt;z-index:251659264;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spacing w:before="186" w:line="290" w:lineRule="auto"/>
        <w:ind w:right="362"/>
        <w:rPr>
          <w:outline w:val="0"/>
          <w:color w:val="030303"/>
          <w:sz w:val="26"/>
          <w:szCs w:val="26"/>
          <w:u w:color="030303"/>
          <w14:textFill>
            <w14:solidFill>
              <w14:srgbClr w14:val="030303"/>
            </w14:solidFill>
          </w14:textFill>
        </w:rPr>
      </w:pPr>
    </w:p>
    <w:p>
      <w:pPr>
        <w:pStyle w:val="heading 6"/>
        <w:spacing w:before="1"/>
        <w:ind w:firstLine="363"/>
      </w:pPr>
      <w:r>
        <w:rPr>
          <w:outline w:val="0"/>
          <w:color w:val="030303"/>
          <w:u w:color="030303"/>
          <w:rtl w:val="0"/>
          <w:lang w:val="en-US"/>
          <w14:textFill>
            <w14:solidFill>
              <w14:srgbClr w14:val="030303"/>
            </w14:solidFill>
          </w14:textFill>
        </w:rPr>
        <w:t>ARTICLE ONE</w:t>
      </w:r>
    </w:p>
    <w:p>
      <w:pPr>
        <w:pStyle w:val="Body"/>
        <w:ind w:left="360"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Identifying Our Trust, Reliance Upon Our Trust by Third Parties, Qualifying Trust</w:t>
      </w:r>
    </w:p>
    <w:p>
      <w:pPr>
        <w:pStyle w:val="Body"/>
        <w:numPr>
          <w:ilvl w:val="0"/>
          <w:numId w:val="2"/>
        </w:numPr>
        <w:bidi w:val="0"/>
        <w:spacing w:before="230" w:line="319" w:lineRule="auto"/>
        <w:ind w:right="49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Identifying Our Trust: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This instrument, as from time to time amended, may be designated the: "</w:t>
      </w:r>
      <w:r>
        <w:rPr>
          <w:outline w:val="0"/>
          <w:color w:val="030303"/>
          <w:sz w:val="26"/>
          <w:szCs w:val="26"/>
          <w:u w:color="030303"/>
          <w:rtl w:val="0"/>
          <w14:textFill>
            <w14:solidFill>
              <w14:srgbClr w14:val="030303"/>
            </w14:solidFill>
          </w14:textFill>
        </w:rPr>
        <w:t>{trustName}</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 Revocable Living Trust, dated {trustDate}." For purposes of transferring property to this Trust or identifying it in beneficiary designations, the Trust may be identified as: "{husbandFullName} AND {wifeFullName}, TRUSTEES OF THE {trustName} JOINT TRUST DATED {trustDate}, AND ANY AMENDMENTS THERETO."</w:t>
      </w:r>
    </w:p>
    <w:p>
      <w:pPr>
        <w:pStyle w:val="Body"/>
        <w:numPr>
          <w:ilvl w:val="0"/>
          <w:numId w:val="3"/>
        </w:numPr>
        <w:bidi w:val="0"/>
        <w:spacing w:before="54" w:line="319" w:lineRule="auto"/>
        <w:ind w:right="38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Third Party Reliance: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Any person or institution dealing with the Trustee may rely upon a certification of trust or written representation by the Trustee as to the existence of this Trust and the Trustee's authority. No person dealing with the Trustee shall be required to inquire into the propriety of any action taken by the Trustee or the application of trust assets. A certification by the Trustee that the Trustee is acting in accordance with this Trust shall be conclusive in favor of any person relying upon it.</w:t>
      </w:r>
    </w:p>
    <w:p>
      <w:pPr>
        <w:pStyle w:val="Body"/>
        <w:numPr>
          <w:ilvl w:val="0"/>
          <w:numId w:val="4"/>
        </w:numPr>
        <w:bidi w:val="0"/>
        <w:spacing w:before="46" w:line="319" w:lineRule="auto"/>
        <w:ind w:right="531"/>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Qualifying Trust under Texas Law: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The Grantors intend that this Trust constitute a "qualifying trust" within the meaning of Section 11.13(j) (3) of the Texas Tax Code and Section 41.0021 of the Texas Property Code. The Grantors expressly reserve and retain the exclusive right to use and occupy the real property identified in Schedule A (as amended from time to time) as their principal residence, rent-free except for ordinary taxes, insurance, and maintenance expenses, for so long as either Grantor is living and this Trust remains in effect. The Grantors further declare that this Trust is revocable and that they retain a present beneficial interest in the residence sufficient to maintain all property-tax benefits and exemptions under Texas law, including but not limited to:</w:t>
      </w:r>
    </w:p>
    <w:p>
      <w:pPr>
        <w:pStyle w:val="Body"/>
        <w:numPr>
          <w:ilvl w:val="1"/>
          <w:numId w:val="4"/>
        </w:numPr>
        <w:bidi w:val="0"/>
        <w:spacing w:before="54"/>
        <w:ind w:right="0"/>
        <w:jc w:val="left"/>
        <w:rPr>
          <w:outline w:val="0"/>
          <w:color w:val="030303"/>
          <w:sz w:val="26"/>
          <w:szCs w:val="26"/>
          <w:rtl w:val="0"/>
          <w:lang w:val="en-US"/>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The general residence-homestead exemption under Texas Tax Code</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 </w:t>
      </w:r>
      <w:r>
        <w:rPr>
          <w:caps w:val="0"/>
          <w:smallCaps w:val="0"/>
          <w:strike w:val="0"/>
          <w:dstrike w:val="0"/>
          <w:outline w:val="0"/>
          <w:color w:val="030303"/>
          <w:sz w:val="26"/>
          <w:szCs w:val="26"/>
          <w:u w:val="none" w:color="030303"/>
          <w:shd w:val="nil" w:color="auto" w:fill="auto"/>
          <w:vertAlign w:val="baseline"/>
          <w:rtl w:val="0"/>
          <w:lang w:val="it-IT"/>
          <w14:textFill>
            <w14:solidFill>
              <w14:srgbClr w14:val="030303"/>
            </w14:solidFill>
          </w14:textFill>
        </w:rPr>
        <w:t>11.13(b);</w:t>
      </w:r>
    </w:p>
    <w:p>
      <w:pPr>
        <w:pStyle w:val="Body"/>
        <w:numPr>
          <w:ilvl w:val="1"/>
          <w:numId w:val="4"/>
        </w:numPr>
        <w:bidi w:val="0"/>
        <w:spacing w:before="153"/>
        <w:ind w:right="0"/>
        <w:jc w:val="left"/>
        <w:rPr>
          <w:outline w:val="0"/>
          <w:color w:val="030303"/>
          <w:sz w:val="26"/>
          <w:szCs w:val="26"/>
          <w:rtl w:val="0"/>
          <w:lang w:val="en-US"/>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The additional exemption for persons age 65 or older or disabled under</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 </w:t>
      </w:r>
      <w:r>
        <w:rPr>
          <w:caps w:val="0"/>
          <w:smallCaps w:val="0"/>
          <w:strike w:val="0"/>
          <w:dstrike w:val="0"/>
          <w:outline w:val="0"/>
          <w:color w:val="030303"/>
          <w:sz w:val="26"/>
          <w:szCs w:val="26"/>
          <w:u w:val="none" w:color="030303"/>
          <w:shd w:val="nil" w:color="auto" w:fill="auto"/>
          <w:vertAlign w:val="baseline"/>
          <w:rtl w:val="0"/>
          <w:lang w:val="it-IT"/>
          <w14:textFill>
            <w14:solidFill>
              <w14:srgbClr w14:val="030303"/>
            </w14:solidFill>
          </w14:textFill>
        </w:rPr>
        <w:t>11.13(c)-(d);</w:t>
      </w:r>
    </w:p>
    <w:p>
      <w:pPr>
        <w:pStyle w:val="Body"/>
        <w:numPr>
          <w:ilvl w:val="1"/>
          <w:numId w:val="5"/>
        </w:numPr>
        <w:bidi w:val="0"/>
        <w:spacing w:before="77"/>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school-district tax limitation ("tax ceiling") under</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11.26; and</w:t>
      </w:r>
    </w:p>
    <w:p>
      <w:pPr>
        <w:pStyle w:val="Body"/>
        <w:numPr>
          <w:ilvl w:val="1"/>
          <w:numId w:val="6"/>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Any local-option exemptions adopted by the applicable taxing units.</w:t>
      </w:r>
    </w:p>
    <w:p>
      <w:pPr>
        <w:pStyle w:val="Body"/>
        <w:spacing w:before="156" w:line="304" w:lineRule="auto"/>
        <w:ind w:left="958" w:right="362"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It is the express intent of the Grantors that the conveyance of their residence into this Trust shall not affect, terminate, or suspend any existing or future homestead, over-65, or disabled exemptions or any limitation on ad valorem taxes. The Trustee is authorized and directed to execute and deliver any affidavits or certifications necessary to maintain such exemptions and to list the property in the name of the Grantors pursuant to Texas Tax Code</w:t>
      </w:r>
    </w:p>
    <w:p>
      <w:pPr>
        <w:pStyle w:val="Body"/>
        <w:spacing w:before="13"/>
        <w:ind w:left="955" w:firstLine="0"/>
        <w:rPr>
          <w:caps w:val="0"/>
          <w:smallCaps w:val="0"/>
          <w:strike w:val="0"/>
          <w:dstrike w:val="0"/>
          <w:outline w:val="0"/>
          <w:color w:val="030303"/>
          <w:sz w:val="27"/>
          <w:szCs w:val="27"/>
          <w:u w:val="none" w:color="030303"/>
          <w:shd w:val="nil" w:color="auto" w:fill="auto"/>
          <w:vertAlign w:val="baseline"/>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 </w:t>
      </w:r>
      <w:r>
        <w:rPr>
          <w:caps w:val="0"/>
          <w:smallCaps w:val="0"/>
          <w:strike w:val="0"/>
          <w:dstrike w:val="0"/>
          <w:outline w:val="0"/>
          <w:color w:val="030303"/>
          <w:sz w:val="27"/>
          <w:szCs w:val="27"/>
          <w:u w:val="none" w:color="030303"/>
          <w:shd w:val="nil" w:color="auto" w:fill="auto"/>
          <w:vertAlign w:val="baseline"/>
          <w:rtl w:val="0"/>
          <w14:textFill>
            <w14:solidFill>
              <w14:srgbClr w14:val="030303"/>
            </w14:solidFill>
          </w14:textFill>
        </w:rPr>
        <w:t>25.135.</w:t>
      </w:r>
    </w:p>
    <w:p>
      <w:pPr>
        <w:pStyle w:val="Body"/>
        <w:spacing w:before="13"/>
        <w:rPr>
          <w:outline w:val="0"/>
          <w:color w:val="030303"/>
          <w:sz w:val="27"/>
          <w:szCs w:val="27"/>
          <w:u w:color="030303"/>
          <w14:textFill>
            <w14:solidFill>
              <w14:srgbClr w14:val="030303"/>
            </w14:solidFill>
          </w14:textFill>
        </w:rPr>
      </w:pPr>
    </w:p>
    <w:p>
      <w:pPr>
        <w:pStyle w:val="Body"/>
        <w:spacing w:before="36"/>
        <w:rPr>
          <w:sz w:val="20"/>
          <w:szCs w:val="20"/>
        </w:rPr>
      </w:pPr>
      <w:r>
        <mc:AlternateContent>
          <mc:Choice Requires="wps">
            <w:drawing xmlns:a="http://schemas.openxmlformats.org/drawingml/2006/main">
              <wp:anchor distT="0" distB="0" distL="0" distR="0" simplePos="0" relativeHeight="251660288" behindDoc="0" locked="0" layoutInCell="1" allowOverlap="1">
                <wp:simplePos x="0" y="0"/>
                <wp:positionH relativeFrom="column">
                  <wp:posOffset>285750</wp:posOffset>
                </wp:positionH>
                <wp:positionV relativeFrom="line">
                  <wp:posOffset>176269</wp:posOffset>
                </wp:positionV>
                <wp:extent cx="6743700" cy="12700"/>
                <wp:effectExtent l="0" t="0" r="0" b="0"/>
                <wp:wrapTopAndBottom distT="0" distB="0"/>
                <wp:docPr id="1073741826"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27" style="visibility:visible;position:absolute;margin-left:22.5pt;margin-top:13.9pt;width:531.0pt;height:1.0pt;z-index:251660288;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spacing w:before="272"/>
        <w:rPr>
          <w:sz w:val="27"/>
          <w:szCs w:val="27"/>
        </w:rPr>
      </w:pPr>
    </w:p>
    <w:p>
      <w:pPr>
        <w:pStyle w:val="Body"/>
        <w:spacing w:before="13"/>
        <w:rPr>
          <w:outline w:val="0"/>
          <w:color w:val="030303"/>
          <w:sz w:val="27"/>
          <w:szCs w:val="27"/>
          <w:u w:color="030303"/>
          <w14:textFill>
            <w14:solidFill>
              <w14:srgbClr w14:val="030303"/>
            </w14:solidFill>
          </w14:textFill>
        </w:rPr>
      </w:pPr>
    </w:p>
    <w:p>
      <w:pPr>
        <w:pStyle w:val="heading 6"/>
        <w:ind w:firstLine="363"/>
      </w:pPr>
      <w:r>
        <w:rPr>
          <w:outline w:val="0"/>
          <w:color w:val="030303"/>
          <w:u w:color="030303"/>
          <w:rtl w:val="0"/>
          <w:lang w:val="en-US"/>
          <w14:textFill>
            <w14:solidFill>
              <w14:srgbClr w14:val="030303"/>
            </w14:solidFill>
          </w14:textFill>
        </w:rPr>
        <w:t>ARTICLE TWO</w:t>
      </w:r>
    </w:p>
    <w:p>
      <w:pPr>
        <w:pStyle w:val="Body"/>
        <w:spacing w:before="1"/>
        <w:ind w:left="359"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Powers Reserved by Us as Grantors</w:t>
      </w:r>
    </w:p>
    <w:p>
      <w:pPr>
        <w:pStyle w:val="Body"/>
        <w:numPr>
          <w:ilvl w:val="0"/>
          <w:numId w:val="7"/>
        </w:numPr>
        <w:bidi w:val="0"/>
        <w:spacing w:before="215" w:line="300" w:lineRule="auto"/>
        <w:ind w:right="65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Powers Reserved by the Grantors: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Grantors retain the rights and powers set forth in this Article, in addition to any rights reserved elsewhere in this Trust Agreement.</w:t>
      </w:r>
    </w:p>
    <w:p>
      <w:pPr>
        <w:pStyle w:val="Body"/>
        <w:numPr>
          <w:ilvl w:val="0"/>
          <w:numId w:val="8"/>
        </w:numPr>
        <w:bidi w:val="0"/>
        <w:spacing w:before="65" w:line="306" w:lineRule="auto"/>
        <w:ind w:right="471"/>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Action on Behalf of Our Trust: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Whenever both of us are serving as Trustee, either or both of us may act for and conduct business on behalf of our trust without the consent of any other Trustee. Whenever one of us is alive but not serving as Trustee, and the other is serving as Trustee, the one who is serving as Trustee may act for and conduct business on behalf of our trust without the consent of any other Trustee. After one of us dies, the ability of the survivor of us, when serving as Trustee, to conduct business on behalf of us without the consent of any other Trustee is subject to the terms and conditions of our trust.</w:t>
      </w:r>
    </w:p>
    <w:p>
      <w:pPr>
        <w:pStyle w:val="Body"/>
        <w:numPr>
          <w:ilvl w:val="0"/>
          <w:numId w:val="9"/>
        </w:numPr>
        <w:bidi w:val="0"/>
        <w:spacing w:before="58" w:line="306" w:lineRule="auto"/>
        <w:ind w:right="524"/>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Revocation: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During the joint lifetimes of the Grantors, this Trust may be revoked in whole or in part by a written instrument signed by both Grantors and delivered to the Trustee. Upon the death of the first Grantor to die, this Trust shall become irrevocable as to that Grantor's property, but shall remain revocable and amendable by the surviving Grantor as to the surviving Grantor's property.</w:t>
      </w:r>
    </w:p>
    <w:p>
      <w:pPr>
        <w:pStyle w:val="Body"/>
        <w:numPr>
          <w:ilvl w:val="0"/>
          <w:numId w:val="8"/>
        </w:numPr>
        <w:bidi w:val="0"/>
        <w:spacing w:before="56" w:line="306" w:lineRule="auto"/>
        <w:ind w:right="797"/>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Amendment: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During the joint lifetimes of the Grantors, this Trust may be amended in whole or in part by a written instrument signed by both Grantors and delivered to the Trustee. After the death of the first Grantor, the surviving Grantor may amend the Trust only with respect to the surviving Grantor's separate property and the Survivor's Trust established under this instrument.</w:t>
      </w:r>
    </w:p>
    <w:p>
      <w:pPr>
        <w:pStyle w:val="Body"/>
        <w:numPr>
          <w:ilvl w:val="0"/>
          <w:numId w:val="10"/>
        </w:numPr>
        <w:bidi w:val="0"/>
        <w:spacing w:before="55" w:line="304" w:lineRule="auto"/>
        <w:ind w:right="36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Addition or Removal of Trust Property: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Either of us may add property to our trust or may direct the trustee to do so. Both of us, acting jointly, may remove any property from our trust or direct the trustee to do so. Each of us, acting alone, may remove our own separate property from our trust or direct the trustee to do so.</w:t>
      </w:r>
    </w:p>
    <w:p>
      <w:pPr>
        <w:pStyle w:val="Body"/>
        <w:numPr>
          <w:ilvl w:val="0"/>
          <w:numId w:val="9"/>
        </w:numPr>
        <w:bidi w:val="0"/>
        <w:spacing w:before="62" w:line="306" w:lineRule="auto"/>
        <w:ind w:right="397"/>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Control of Income and Principal Distributions: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We retain the right to control the distribution of income and principal from our trust. We may direct our Trustee to distribute as much of the net income and principal of the trust property as we consider advisable to us or to other persons or entities. Our Trustee may distribute the net income and principal to us or for our unrestricted use and benefit, even to the exhaustion of all trust property. Any undistributed net income is to be added to the principal of our trust.</w:t>
      </w:r>
    </w:p>
    <w:p>
      <w:pPr>
        <w:pStyle w:val="Body"/>
        <w:numPr>
          <w:ilvl w:val="0"/>
          <w:numId w:val="11"/>
        </w:numPr>
        <w:bidi w:val="0"/>
        <w:spacing w:before="47" w:line="306" w:lineRule="auto"/>
        <w:ind w:right="385"/>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Grantor Trust Status: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This Trust is intended to qualify as a "grantor trust" for federal income tax purposes during the lifetime of the Grantors. Accordingly, all items of income, deduction, and credit shall be reportable by the Grantors individually to the extent required under applicable law. The Trust may use either Grantor's Social Security number as its taxpayer identification number during any period in which it is treated as a grantor trust.</w:t>
      </w:r>
    </w:p>
    <w:p>
      <w:pPr>
        <w:pStyle w:val="Body"/>
        <w:spacing w:before="36"/>
        <w:rPr>
          <w:sz w:val="20"/>
          <w:szCs w:val="20"/>
        </w:rPr>
      </w:pPr>
      <w:r>
        <mc:AlternateContent>
          <mc:Choice Requires="wps">
            <w:drawing xmlns:a="http://schemas.openxmlformats.org/drawingml/2006/main">
              <wp:anchor distT="0" distB="0" distL="0" distR="0" simplePos="0" relativeHeight="251661312" behindDoc="0" locked="0" layoutInCell="1" allowOverlap="1">
                <wp:simplePos x="0" y="0"/>
                <wp:positionH relativeFrom="column">
                  <wp:posOffset>285750</wp:posOffset>
                </wp:positionH>
                <wp:positionV relativeFrom="line">
                  <wp:posOffset>176269</wp:posOffset>
                </wp:positionV>
                <wp:extent cx="6743700" cy="12700"/>
                <wp:effectExtent l="0" t="0" r="0" b="0"/>
                <wp:wrapTopAndBottom distT="0" distB="0"/>
                <wp:docPr id="1073741827"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28" style="visibility:visible;position:absolute;margin-left:22.5pt;margin-top:13.9pt;width:531.0pt;height:1.0pt;z-index:251661312;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tabs>
          <w:tab w:val="left" w:pos="960"/>
          <w:tab w:val="left" w:pos="962"/>
        </w:tabs>
        <w:spacing w:before="47" w:line="306" w:lineRule="auto"/>
        <w:ind w:right="385"/>
        <w:rPr>
          <w:outline w:val="0"/>
          <w:color w:val="030303"/>
          <w:sz w:val="27"/>
          <w:szCs w:val="27"/>
          <w:u w:color="030303"/>
          <w14:textFill>
            <w14:solidFill>
              <w14:srgbClr w14:val="030303"/>
            </w14:solidFill>
          </w14:textFill>
        </w:rPr>
      </w:pPr>
    </w:p>
    <w:p>
      <w:pPr>
        <w:pStyle w:val="heading 6"/>
        <w:ind w:left="363" w:firstLine="0"/>
        <w:rPr>
          <w:b w:val="1"/>
          <w:bCs w:val="1"/>
          <w:sz w:val="26"/>
          <w:szCs w:val="26"/>
        </w:rPr>
      </w:pPr>
      <w:r>
        <w:rPr>
          <w:b w:val="1"/>
          <w:bCs w:val="1"/>
          <w:outline w:val="0"/>
          <w:color w:val="030303"/>
          <w:sz w:val="26"/>
          <w:szCs w:val="26"/>
          <w:u w:color="030303"/>
          <w:rtl w:val="0"/>
          <w:lang w:val="de-DE"/>
          <w14:textFill>
            <w14:solidFill>
              <w14:srgbClr w14:val="030303"/>
            </w14:solidFill>
          </w14:textFill>
        </w:rPr>
        <w:t>ARTICLE THREE</w:t>
      </w:r>
    </w:p>
    <w:p>
      <w:pPr>
        <w:pStyle w:val="Body"/>
        <w:ind w:left="360"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Characterization, Ownership, and Interspousal Allocation of Trust Property</w:t>
      </w:r>
    </w:p>
    <w:p>
      <w:pPr>
        <w:pStyle w:val="Body"/>
        <w:numPr>
          <w:ilvl w:val="0"/>
          <w:numId w:val="12"/>
        </w:numPr>
        <w:bidi w:val="0"/>
        <w:spacing w:before="216" w:line="306" w:lineRule="auto"/>
        <w:ind w:right="48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Texas Characterization Preserved: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Property transferred to this Trust shall retain its character as community or separate property under Texas law unless expressly reallocated pursuant to this Article. The Trustee may rely on the designations reflected in Schedule A without duty to inquire further.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any designation is later determined to be incorrect, the transfer shall remain valid, and the Trustee shall adjust the characterization to reflect the correct legal status as if properly designated from the outset.</w:t>
      </w:r>
    </w:p>
    <w:p>
      <w:pPr>
        <w:pStyle w:val="Body"/>
        <w:numPr>
          <w:ilvl w:val="0"/>
          <w:numId w:val="13"/>
        </w:numPr>
        <w:bidi w:val="0"/>
        <w:spacing w:before="52" w:line="306" w:lineRule="auto"/>
        <w:ind w:right="40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Election of Ownership Allocation Method: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Grantors have elected one of the following two methods for determining each Grantor's distributable Islamic estate. The elected method governs the application of Article Twelve. Only one method shall apply.</w:t>
      </w:r>
    </w:p>
    <w:p>
      <w:pPr>
        <w:pStyle w:val="Body"/>
        <w:numPr>
          <w:ilvl w:val="0"/>
          <w:numId w:val="14"/>
        </w:numPr>
        <w:bidi w:val="0"/>
        <w:spacing w:before="237" w:line="306" w:lineRule="auto"/>
        <w:ind w:right="455"/>
        <w:jc w:val="left"/>
        <w:rPr>
          <w:outline w:val="0"/>
          <w:color w:val="030303"/>
          <w:sz w:val="22"/>
          <w:szCs w:val="22"/>
          <w:rtl w:val="0"/>
          <w:lang w:val="nl-NL"/>
          <w14:textFill>
            <w14:solidFill>
              <w14:srgbClr w14:val="030303"/>
            </w14:solidFill>
          </w14:textFill>
        </w:rPr>
      </w:pPr>
      <w:r>
        <w:rPr>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{#isHeba}</w:t>
      </w:r>
    </w:p>
    <w:p>
      <w:pPr>
        <w:pStyle w:val="Body"/>
        <w:numPr>
          <w:ilvl w:val="0"/>
          <w:numId w:val="15"/>
        </w:numPr>
        <w:bidi w:val="0"/>
        <w:spacing w:before="237" w:line="306" w:lineRule="auto"/>
        <w:ind w:right="455"/>
        <w:jc w:val="left"/>
        <w:rPr>
          <w:outline w:val="0"/>
          <w:color w:val="030303"/>
          <w:sz w:val="26"/>
          <w:szCs w:val="26"/>
          <w:rtl w:val="0"/>
          <w:lang w:val="en-US"/>
          <w14:textFill>
            <w14:solidFill>
              <w14:srgbClr w14:val="030303"/>
            </w14:solidFill>
          </w14:textFill>
        </w:rPr>
      </w:pPr>
      <w:r>
        <w:rPr>
          <w:b w:val="1"/>
          <w:bCs w:val="1"/>
          <w:outline w:val="0"/>
          <w:color w:val="030303"/>
          <w:sz w:val="26"/>
          <w:szCs w:val="26"/>
          <w:u w:color="030303"/>
          <w:rtl w:val="0"/>
          <w:lang w:val="en-US"/>
          <w14:textFill>
            <w14:solidFill>
              <w14:srgbClr w14:val="030303"/>
            </w14:solidFill>
          </w14:textFill>
        </w:rPr>
        <w:t xml:space="preserve">Mutual Heba - Ownership Allocation: </w:t>
      </w:r>
      <w:r>
        <w:rPr>
          <w:outline w:val="0"/>
          <w:color w:val="030303"/>
          <w:sz w:val="27"/>
          <w:szCs w:val="27"/>
          <w:u w:color="030303"/>
          <w:rtl w:val="0"/>
          <w:lang w:val="en-US"/>
          <w14:textFill>
            <w14:solidFill>
              <w14:srgbClr w14:val="030303"/>
            </w14:solidFill>
          </w14:textFill>
        </w:rPr>
        <w:t xml:space="preserve">The Grantors hereby make a mutual, simultaneous, and irrevocable lifetime gift (heba) of one-half of each Grantor's interest in all community property to the other Grantor. This gift is unconditional, takes effect immediately upon execution of this Trust, and shall not be revoked or modified by either Grantor for any reason, including divorce or dissolution of marriage. The effect of this </w:t>
      </w:r>
      <w:r>
        <w:rPr>
          <w:rFonts w:ascii="Arial" w:hAnsi="Arial"/>
          <w:i w:val="1"/>
          <w:iCs w:val="1"/>
          <w:outline w:val="0"/>
          <w:color w:val="030303"/>
          <w:sz w:val="24"/>
          <w:szCs w:val="24"/>
          <w:u w:color="030303"/>
          <w:rtl w:val="0"/>
          <w:lang w:val="nl-NL"/>
          <w14:textFill>
            <w14:solidFill>
              <w14:srgbClr w14:val="030303"/>
            </w14:solidFill>
          </w14:textFill>
        </w:rPr>
        <w:t xml:space="preserve">heba </w:t>
      </w:r>
      <w:r>
        <w:rPr>
          <w:outline w:val="0"/>
          <w:color w:val="030303"/>
          <w:sz w:val="27"/>
          <w:szCs w:val="27"/>
          <w:u w:color="030303"/>
          <w:rtl w:val="0"/>
          <w:lang w:val="en-US"/>
          <w14:textFill>
            <w14:solidFill>
              <w14:srgbClr w14:val="030303"/>
            </w14:solidFill>
          </w14:textFill>
        </w:rPr>
        <w:t>is that each Grantor shall be deemed to own fifty percent (50%) of all community property for purposes of determining that Grantor's distributable Islamic estate under Article Twelve</w:t>
      </w:r>
      <w:r>
        <w:rPr>
          <w:outline w:val="0"/>
          <w:color w:val="383838"/>
          <w:sz w:val="27"/>
          <w:szCs w:val="27"/>
          <w:u w:color="383838"/>
          <w:rtl w:val="0"/>
          <w14:textFill>
            <w14:solidFill>
              <w14:srgbClr w14:val="383838"/>
            </w14:solidFill>
          </w14:textFill>
        </w:rPr>
        <w:t xml:space="preserve">. </w:t>
      </w:r>
      <w:r>
        <w:rPr>
          <w:outline w:val="0"/>
          <w:color w:val="030303"/>
          <w:sz w:val="27"/>
          <w:szCs w:val="27"/>
          <w:u w:color="030303"/>
          <w:rtl w:val="0"/>
          <w:lang w:val="en-US"/>
          <w14:textFill>
            <w14:solidFill>
              <w14:srgbClr w14:val="030303"/>
            </w14:solidFill>
          </w14:textFill>
        </w:rPr>
        <w:t>The Islamic Law of inheritance fractions described in Article Twelve shall be applied to each Grantor's fifty percent (50%) share. The Grantors acknowledge and accept that:</w:t>
      </w:r>
    </w:p>
    <w:p>
      <w:pPr>
        <w:pStyle w:val="Body"/>
        <w:numPr>
          <w:ilvl w:val="1"/>
          <w:numId w:val="15"/>
        </w:numPr>
        <w:bidi w:val="0"/>
        <w:spacing w:before="58" w:line="300" w:lineRule="auto"/>
        <w:ind w:right="517"/>
        <w:jc w:val="left"/>
        <w:rPr>
          <w:outline w:val="0"/>
          <w:color w:val="030303"/>
          <w:sz w:val="27"/>
          <w:szCs w:val="27"/>
          <w:rtl w:val="0"/>
          <w:lang w:val="en-US"/>
          <w14:textFill>
            <w14:solidFill>
              <w14:srgbClr w14:val="030303"/>
            </w14:solidFill>
          </w14:textFill>
        </w:rPr>
      </w:pPr>
      <w:r>
        <w:rPr>
          <w:outline w:val="0"/>
          <w:color w:val="030303"/>
          <w:sz w:val="27"/>
          <w:szCs w:val="27"/>
          <w:u w:color="030303"/>
          <w:rtl w:val="0"/>
          <w:lang w:val="en-US"/>
          <w14:textFill>
            <w14:solidFill>
              <w14:srgbClr w14:val="030303"/>
            </w14:solidFill>
          </w14:textFill>
        </w:rPr>
        <w:t>This gift has immediate Islamic legal effect and is binding </w:t>
      </w:r>
      <w:r>
        <w:rPr>
          <w:bCs/>
          <w:b/>
        </w:rPr>
        <w:t>under Islamic law</w:t>
      </w:r>
      <w:r>
        <w:rPr>
          <w:outline w:val="0"/>
          <w:color w:val="030303"/>
          <w:sz w:val="27"/>
          <w:szCs w:val="27"/>
          <w:u w:color="030303"/>
          <w:rtl w:val="0"/>
          <w:lang w:val="en-US"/>
          <w14:textFill>
            <w14:solidFill>
              <w14:srgbClr w14:val="030303"/>
            </w14:solidFill>
          </w14:textFill>
        </w:rPr>
        <w:t> from the date of execution;</w:t>
      </w:r>
    </w:p>
    <w:p>
      <w:pPr>
        <w:pStyle w:val="Body"/>
        <w:numPr>
          <w:ilvl w:val="1"/>
          <w:numId w:val="16"/>
        </w:numPr>
        <w:bidi w:val="0"/>
        <w:spacing w:before="80" w:line="300" w:lineRule="auto"/>
        <w:ind w:right="550"/>
        <w:jc w:val="left"/>
        <w:rPr>
          <w:outline w:val="0"/>
          <w:color w:val="030303"/>
          <w:sz w:val="27"/>
          <w:szCs w:val="27"/>
          <w:rtl w:val="0"/>
          <w:lang w:val="en-US"/>
          <w14:textFill>
            <w14:solidFill>
              <w14:srgbClr w14:val="030303"/>
            </w14:solidFill>
          </w14:textFill>
        </w:rPr>
      </w:pPr>
      <w:r>
        <w:rPr>
          <w:outline w:val="0"/>
          <w:color w:val="030303"/>
          <w:sz w:val="27"/>
          <w:szCs w:val="27"/>
          <w:u w:color="030303"/>
          <w:rtl w:val="0"/>
          <w:lang w:val="en-US"/>
          <w14:textFill>
            <w14:solidFill>
              <w14:srgbClr w14:val="030303"/>
            </w14:solidFill>
          </w14:textFill>
        </w:rPr>
        <w:t>This gift is irrevocable </w:t>
      </w:r>
      <w:r>
        <w:rPr>
          <w:bCs/>
          <w:b/>
        </w:rPr>
        <w:t>under Islamic law</w:t>
      </w:r>
      <w:r>
        <w:rPr>
          <w:outline w:val="0"/>
          <w:color w:val="030303"/>
          <w:sz w:val="27"/>
          <w:szCs w:val="27"/>
          <w:u w:color="030303"/>
          <w:rtl w:val="0"/>
          <w:lang w:val="en-US"/>
          <w14:textFill>
            <w14:solidFill>
              <w14:srgbClr w14:val="030303"/>
            </w14:solidFill>
          </w14:textFill>
        </w:rPr>
        <w:t> and may not be reclaimed by either Grantor under any circumstances, including divorce; and</w:t>
      </w:r>
    </w:p>
    <w:p>
      <w:pPr>
        <w:pStyle w:val="Body"/>
        <w:numPr>
          <w:ilvl w:val="1"/>
          <w:numId w:val="17"/>
        </w:numPr>
        <w:bidi w:val="0"/>
        <w:spacing w:before="79" w:line="300" w:lineRule="auto"/>
        <w:ind w:right="1080"/>
        <w:jc w:val="left"/>
        <w:rPr>
          <w:outline w:val="0"/>
          <w:color w:val="030303"/>
          <w:sz w:val="27"/>
          <w:szCs w:val="27"/>
          <w:rtl w:val="0"/>
          <w:lang w:val="en-US"/>
          <w14:textFill>
            <w14:solidFill>
              <w14:srgbClr w14:val="030303"/>
            </w14:solidFill>
          </w14:textFill>
        </w:rPr>
      </w:pPr>
      <w:r>
        <w:rPr>
          <w:outline w:val="0"/>
          <w:color w:val="030303"/>
          <w:sz w:val="27"/>
          <w:szCs w:val="27"/>
          <w:u w:color="030303"/>
          <w:rtl w:val="0"/>
          <w:lang w:val="en-US"/>
          <w14:textFill>
            <w14:solidFill>
              <w14:srgbClr w14:val="030303"/>
            </w14:solidFill>
          </w14:textFill>
        </w:rPr>
        <w:t>This provision does not alter the character of either Grantor's separate property, which shall remain separate property.</w:t>
      </w:r>
    </w:p>
    <w:p>
      <w:pPr>
        <w:pStyle w:val="Body"/>
        <w:spacing w:before="79" w:line="302" w:lineRule="auto"/>
        <w:ind w:left="962" w:right="362" w:hanging="4"/>
        <w:rPr>
          <w:b w:val="1"/>
          <w:bCs w:val="1"/>
          <w:outline w:val="0"/>
          <w:color w:val="030303"/>
          <w:sz w:val="26"/>
          <w:szCs w:val="26"/>
          <w:u w:color="030303"/>
          <w14:textFill>
            <w14:solidFill>
              <w14:srgbClr w14:val="030303"/>
            </w14:solidFill>
          </w14:textFill>
        </w:rPr>
      </w:pPr>
      <w:r>
        <w:rPr>
          <w:outline w:val="0"/>
          <w:color w:val="030303"/>
          <w:sz w:val="27"/>
          <w:szCs w:val="27"/>
          <w:u w:color="030303"/>
          <w:rtl w:val="0"/>
          <w:lang w:val="en-US"/>
          <w14:textFill>
            <w14:solidFill>
              <w14:srgbClr w14:val="030303"/>
            </w14:solidFill>
          </w14:textFill>
        </w:rPr>
        <w:t>The Trustee is authorized to rely conclusively on this provision in determining each Grantor's distributable estate and shall have no duty to investigate the historical source of community property contributions.</w:t>
      </w:r>
    </w:p>
    <w:p>
      <w:pPr>
        <w:pStyle w:val="Body"/>
      </w:pPr>
      <w:r>
        <w:rPr>
          <w:rtl w:val="0"/>
          <w:lang w:val="nl-NL"/>
        </w:rPr>
        <w:t>{/isHeba}</w:t>
      </w:r>
    </w:p>
    <w:p>
      <w:pPr>
        <w:pStyle w:val="Body"/>
      </w:pPr>
      <w:r>
        <w:rPr>
          <w:rtl w:val="0"/>
          <w:lang w:val="it-IT"/>
        </w:rPr>
        <w:t>{#isAssetAllocation}</w:t>
      </w:r>
    </w:p>
    <w:p>
      <w:pPr>
        <w:pStyle w:val="Body"/>
        <w:numPr>
          <w:ilvl w:val="0"/>
          <w:numId w:val="18"/>
        </w:numPr>
        <w:bidi w:val="0"/>
        <w:spacing w:before="81"/>
        <w:ind w:right="0"/>
        <w:jc w:val="left"/>
        <w:rPr>
          <w:outline w:val="0"/>
          <w:color w:val="030303"/>
          <w:sz w:val="26"/>
          <w:szCs w:val="26"/>
          <w:rtl w:val="0"/>
          <w:lang w:val="it-IT"/>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it-IT"/>
          <w14:textFill>
            <w14:solidFill>
              <w14:srgbClr w14:val="030303"/>
            </w14:solidFill>
          </w14:textFill>
        </w:rPr>
        <w:t>Asset Allocation</w:t>
      </w:r>
    </w:p>
    <w:p>
      <w:pPr>
        <w:pStyle w:val="Body"/>
        <w:spacing w:before="80" w:line="306" w:lineRule="auto"/>
        <w:ind w:left="959" w:right="362" w:firstLine="2"/>
        <w:rPr>
          <w:caps w:val="0"/>
          <w:smallCaps w:val="0"/>
          <w:strike w:val="0"/>
          <w:dstrike w:val="0"/>
          <w:outline w:val="0"/>
          <w:color w:val="030303"/>
          <w:sz w:val="27"/>
          <w:szCs w:val="27"/>
          <w:u w:val="none" w:color="030303"/>
          <w:shd w:val="nil" w:color="auto" w:fill="auto"/>
          <w:vertAlign w:val="baseline"/>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Declaration - Ownership Allocation: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Grantors elect to declare the Islamic ownership of specific community and separate property assets as set forth in the Asset Allocation Schedule contained in Schedule A</w:t>
      </w:r>
      <w:r>
        <w:rPr>
          <w:caps w:val="0"/>
          <w:smallCaps w:val="0"/>
          <w:strike w:val="0"/>
          <w:dstrike w:val="0"/>
          <w:outline w:val="0"/>
          <w:color w:val="383838"/>
          <w:sz w:val="27"/>
          <w:szCs w:val="27"/>
          <w:u w:val="none" w:color="383838"/>
          <w:shd w:val="nil" w:color="auto" w:fill="auto"/>
          <w:vertAlign w:val="baseline"/>
          <w:rtl w:val="0"/>
          <w14:textFill>
            <w14:solidFill>
              <w14:srgbClr w14:val="383838"/>
            </w14:solidFill>
          </w14:textFill>
        </w:rPr>
        <w:t xml:space="preserv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This declaration reflects each Grantor's assertion of true Islamic ownership of the listed assets and does not constitute a </w:t>
      </w:r>
      <w:r>
        <w:rPr>
          <w:rFonts w:ascii="Arial" w:hAnsi="Arial"/>
          <w:i w:val="1"/>
          <w:iCs w:val="1"/>
          <w:caps w:val="0"/>
          <w:smallCaps w:val="0"/>
          <w:strike w:val="0"/>
          <w:dstrike w:val="0"/>
          <w:outline w:val="0"/>
          <w:color w:val="030303"/>
          <w:sz w:val="24"/>
          <w:szCs w:val="24"/>
          <w:u w:val="none" w:color="030303"/>
          <w:shd w:val="nil" w:color="auto" w:fill="auto"/>
          <w:vertAlign w:val="baseline"/>
          <w:rtl w:val="0"/>
          <w:lang w:val="nl-NL"/>
          <w14:textFill>
            <w14:solidFill>
              <w14:srgbClr w14:val="030303"/>
            </w14:solidFill>
          </w14:textFill>
        </w:rPr>
        <w:t xml:space="preserve">heba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or any present transfer of property. The Trustee shall administer and distribute each Grantor's listed assets in accordance with Article Twelve upon that Grantor's death. For any community property asset not listed in Schedule A, the Trustee shall apply a default allocation of fifty percent (50%) to each Grantor for purposes of </w:t>
      </w:r>
      <w:r>
        <w:rPr>
          <w:outline w:val="0"/>
          <w:color w:val="030303"/>
          <w:sz w:val="27"/>
          <w:szCs w:val="27"/>
          <w:u w:color="030303"/>
          <w:rtl w:val="0"/>
          <w:lang w:val="it-IT"/>
          <w14:textFill>
            <w14:solidFill>
              <w14:srgbClr w14:val="030303"/>
            </w14:solidFill>
          </w14:textFill>
        </w:rPr>
        <w:t>Islamic</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 distribution. The Grantors acknowledge that this default is a practical administrative measure and does not constitute a religious determination of ownership. The Grantors further acknowledge that this Asset Allocation Declaration does not have present Islamic legal effect as a transfer of ownership, and that</w:t>
      </w:r>
      <w:r>
        <w:rPr>
          <w:sz w:val="27"/>
          <w:szCs w:val="27"/>
          <w:rtl w:val="0"/>
        </w:rPr>
        <w:t xml:space="preserv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Grantors may wish to consult a qualified Islamic scholar regarding the sufficiency of this method for their individual circumstances. This provision does not alter the character of either Grantor's separate property, which shall remain separate property.</w:t>
      </w:r>
    </w:p>
    <w:p>
      <w:pPr>
        <w:pStyle w:val="Body"/>
        <w:numPr>
          <w:ilvl w:val="0"/>
          <w:numId w:val="19"/>
        </w:numPr>
        <w:bidi w:val="0"/>
        <w:spacing w:before="53" w:line="306" w:lineRule="auto"/>
        <w:ind w:right="494"/>
        <w:jc w:val="left"/>
        <w:rPr>
          <w:outline w:val="0"/>
          <w:color w:val="030303"/>
          <w:sz w:val="26"/>
          <w:szCs w:val="26"/>
          <w:rtl w:val="0"/>
          <w:lang w:val="en-US"/>
          <w14:textFill>
            <w14:solidFill>
              <w14:srgbClr w14:val="030303"/>
            </w14:solidFill>
          </w14:textFill>
        </w:rPr>
      </w:pPr>
      <w:r>
        <w:rPr>
          <w:b w:val="1"/>
          <w:bCs w:val="1"/>
          <w:outline w:val="0"/>
          <w:color w:val="030303"/>
          <w:sz w:val="26"/>
          <w:szCs w:val="26"/>
          <w:u w:color="030303"/>
          <w:rtl w:val="0"/>
          <w:lang w:val="en-US"/>
          <w14:textFill>
            <w14:solidFill>
              <w14:srgbClr w14:val="030303"/>
            </w14:solidFill>
          </w14:textFill>
        </w:rPr>
        <w:t xml:space="preserve">Allocation of Community Property for Islamic Planning Purposes: </w:t>
      </w:r>
      <w:r>
        <w:rPr>
          <w:outline w:val="0"/>
          <w:color w:val="030303"/>
          <w:sz w:val="27"/>
          <w:szCs w:val="27"/>
          <w:u w:color="030303"/>
          <w:rtl w:val="0"/>
          <w:lang w:val="en-US"/>
          <w14:textFill>
            <w14:solidFill>
              <w14:srgbClr w14:val="030303"/>
            </w14:solidFill>
          </w14:textFill>
        </w:rPr>
        <w:t xml:space="preserve">To the extent the elected method under Section C results in an allocation of community property other than 50/50, each Grantor hereby makes a present transfer to the other of such portion of community property as required to reflect the elected allocation. </w:t>
      </w:r>
    </w:p>
    <w:p>
      <w:pPr>
        <w:pStyle w:val="Body"/>
        <w:numPr>
          <w:ilvl w:val="0"/>
          <w:numId w:val="20"/>
        </w:numPr>
        <w:bidi w:val="0"/>
        <w:spacing w:before="61" w:line="306" w:lineRule="auto"/>
        <w:ind w:right="47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Trustee Reliance and Correction Authority: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The Trustee may rely conclusively on the allocation method and designations stated in Schedule A and shall have no duty to investigate historical property character.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court of competent jurisdiction determines that any reallocation was ineffective under Texas law, the Trustee shall adjust distributions to reflect the true legal ownership while preserving, to the extent reasonably possible, the Islamic inheritance objectives of this Trust.</w:t>
      </w:r>
    </w:p>
    <w:p>
      <w:pPr>
        <w:pStyle w:val="Body"/>
        <w:numPr>
          <w:ilvl w:val="0"/>
          <w:numId w:val="21"/>
        </w:numPr>
        <w:bidi w:val="0"/>
        <w:spacing w:before="52" w:line="306" w:lineRule="auto"/>
        <w:ind w:right="52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Optional Allocation of Primary Residence at First Death: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Upon the death of the first Grantor to die, the Trustee may allocate the Trust's interest in the primary residence to the surviving Grantor or to the Survivor's Trust.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such allocation is made, the Trustee shall ensure that the deceased Grantor's Islamic heirs receive assets of equivalent net value to their required distributive shares under the Islamic Law of lnheritance. The Trustee may satisfy such equalization using other trust assets, undivided interests in property, promissory notes on commercially reasonable terms, or any combination thereof. The Trustee shall not be required to sell the primary residence in order to satisfy Islamic inheritance shares.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primary residence is owned entirely as the surviving Grantor's separate property at the time of death, this Section shall not apply. The value of the residence shall be determined as of the date of death unless the Trustee selects another reasonable valuation method consistent with applicable law.</w:t>
      </w:r>
    </w:p>
    <w:p>
      <w:pPr>
        <w:pStyle w:val="Body"/>
      </w:pPr>
      <w:r>
        <w:rPr>
          <w:rtl w:val="0"/>
          <w:lang w:val="it-IT"/>
        </w:rPr>
        <w:t>{/isAssetAllocation}</w:t>
      </w:r>
    </w:p>
    <w:p>
      <w:pPr>
        <w:pStyle w:val="Body"/>
        <w:spacing w:before="36"/>
        <w:rPr>
          <w:sz w:val="20"/>
          <w:szCs w:val="20"/>
        </w:rPr>
      </w:pPr>
      <w:r>
        <mc:AlternateContent>
          <mc:Choice Requires="wps">
            <w:drawing xmlns:a="http://schemas.openxmlformats.org/drawingml/2006/main">
              <wp:anchor distT="0" distB="0" distL="0" distR="0" simplePos="0" relativeHeight="251662336" behindDoc="0" locked="0" layoutInCell="1" allowOverlap="1">
                <wp:simplePos x="0" y="0"/>
                <wp:positionH relativeFrom="column">
                  <wp:posOffset>285750</wp:posOffset>
                </wp:positionH>
                <wp:positionV relativeFrom="line">
                  <wp:posOffset>176269</wp:posOffset>
                </wp:positionV>
                <wp:extent cx="6743700" cy="12700"/>
                <wp:effectExtent l="0" t="0" r="0" b="0"/>
                <wp:wrapTopAndBottom distT="0" distB="0"/>
                <wp:docPr id="1073741828"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29" style="visibility:visible;position:absolute;margin-left:22.5pt;margin-top:13.9pt;width:531.0pt;height:1.0pt;z-index:251662336;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rPr>
          <w:outline w:val="0"/>
          <w:color w:val="030303"/>
          <w:sz w:val="27"/>
          <w:szCs w:val="27"/>
          <w:u w:color="030303"/>
          <w14:textFill>
            <w14:solidFill>
              <w14:srgbClr w14:val="030303"/>
            </w14:solidFill>
          </w14:textFill>
        </w:rPr>
      </w:pPr>
    </w:p>
    <w:p>
      <w:pPr>
        <w:pStyle w:val="Body"/>
        <w:rPr>
          <w:outline w:val="0"/>
          <w:color w:val="030303"/>
          <w:sz w:val="27"/>
          <w:szCs w:val="27"/>
          <w:u w:color="030303"/>
          <w14:textFill>
            <w14:solidFill>
              <w14:srgbClr w14:val="030303"/>
            </w14:solidFill>
          </w14:textFill>
        </w:rPr>
      </w:pPr>
    </w:p>
    <w:p>
      <w:pPr>
        <w:pStyle w:val="heading 6"/>
        <w:ind w:firstLine="363"/>
      </w:pPr>
      <w:r>
        <w:rPr>
          <w:outline w:val="0"/>
          <w:color w:val="030303"/>
          <w:u w:color="030303"/>
          <w:rtl w:val="0"/>
          <w:lang w:val="en-US"/>
          <w14:textFill>
            <w14:solidFill>
              <w14:srgbClr w14:val="030303"/>
            </w14:solidFill>
          </w14:textFill>
        </w:rPr>
        <w:t>ARTICLE FOUR</w:t>
      </w:r>
    </w:p>
    <w:p>
      <w:pPr>
        <w:pStyle w:val="Body"/>
        <w:ind w:left="356"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Tangible Personal Property - Ownership Attribution and Administration</w:t>
      </w:r>
    </w:p>
    <w:p>
      <w:pPr>
        <w:pStyle w:val="Body"/>
        <w:numPr>
          <w:ilvl w:val="0"/>
          <w:numId w:val="22"/>
        </w:numPr>
        <w:bidi w:val="0"/>
        <w:spacing w:before="215" w:line="304" w:lineRule="auto"/>
        <w:ind w:right="551"/>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Purpose: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Grantors recognize that ordinary household property is often acquired for shared domestic use and that strict individual ownership of such items is neither customary nor practically determinable. Accordingly, this Article establishes a framework for attributing ownership of tangible personal property consistent with Islamic principles</w:t>
      </w:r>
    </w:p>
    <w:p>
      <w:pPr>
        <w:pStyle w:val="Body"/>
        <w:spacing w:before="77" w:line="300" w:lineRule="auto"/>
        <w:ind w:left="961" w:right="1153"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of ownership and the role of common custom (</w:t>
      </w:r>
      <w:r>
        <w:rPr>
          <w:rFonts w:ascii="Arial" w:hAnsi="Arial"/>
          <w:i w:val="1"/>
          <w:iCs w:val="1"/>
          <w:caps w:val="0"/>
          <w:smallCaps w:val="0"/>
          <w:strike w:val="0"/>
          <w:dstrike w:val="0"/>
          <w:outline w:val="0"/>
          <w:color w:val="030303"/>
          <w:sz w:val="25"/>
          <w:szCs w:val="25"/>
          <w:u w:val="none" w:color="030303"/>
          <w:shd w:val="nil" w:color="auto" w:fill="auto"/>
          <w:vertAlign w:val="baseline"/>
          <w:rtl w:val="0"/>
          <w:lang w:val="fr-FR"/>
          <w14:textFill>
            <w14:solidFill>
              <w14:srgbClr w14:val="030303"/>
            </w14:solidFill>
          </w14:textFill>
        </w:rPr>
        <w:t xml:space="preserve">'urf)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in resolving ambiguity, as well as encouraging amicable settlement </w:t>
      </w:r>
      <w:r>
        <w:rPr>
          <w:rFonts w:ascii="Arial" w:hAnsi="Arial"/>
          <w:i w:val="1"/>
          <w:iCs w:val="1"/>
          <w:caps w:val="0"/>
          <w:smallCaps w:val="0"/>
          <w:strike w:val="0"/>
          <w:dstrike w:val="0"/>
          <w:outline w:val="0"/>
          <w:color w:val="030303"/>
          <w:sz w:val="25"/>
          <w:szCs w:val="25"/>
          <w:u w:val="none" w:color="030303"/>
          <w:shd w:val="nil" w:color="auto" w:fill="auto"/>
          <w:vertAlign w:val="baseline"/>
          <w:rtl w:val="0"/>
          <w:lang w:val="pt-PT"/>
          <w14:textFill>
            <w14:solidFill>
              <w14:srgbClr w14:val="030303"/>
            </w14:solidFill>
          </w14:textFill>
        </w:rPr>
        <w:t xml:space="preserve">(sulh)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among heirs where needed.</w:t>
      </w:r>
    </w:p>
    <w:p>
      <w:pPr>
        <w:pStyle w:val="Body"/>
        <w:numPr>
          <w:ilvl w:val="0"/>
          <w:numId w:val="23"/>
        </w:numPr>
        <w:bidi w:val="0"/>
        <w:spacing w:before="75" w:line="304" w:lineRule="auto"/>
        <w:ind w:right="490"/>
        <w:jc w:val="left"/>
        <w:rPr>
          <w:outline w:val="0"/>
          <w:color w:val="030303"/>
          <w:sz w:val="28"/>
          <w:szCs w:val="28"/>
          <w:rtl w:val="0"/>
          <w:lang w:val="de-DE"/>
          <w14:textFill>
            <w14:solidFill>
              <w14:srgbClr w14:val="030303"/>
            </w14:solidFill>
          </w14:textFill>
        </w:rPr>
      </w:pPr>
      <w:r>
        <w:rPr>
          <w:b w:val="1"/>
          <w:bCs w:val="1"/>
          <w:caps w:val="0"/>
          <w:smallCaps w:val="0"/>
          <w:strike w:val="0"/>
          <w:dstrike w:val="0"/>
          <w:outline w:val="0"/>
          <w:color w:val="030303"/>
          <w:sz w:val="28"/>
          <w:szCs w:val="28"/>
          <w:u w:val="none" w:color="030303"/>
          <w:shd w:val="nil" w:color="auto" w:fill="auto"/>
          <w:vertAlign w:val="baseline"/>
          <w:rtl w:val="0"/>
          <w:lang w:val="de-DE"/>
          <w14:textFill>
            <w14:solidFill>
              <w14:srgbClr w14:val="030303"/>
            </w14:solidFill>
          </w14:textFill>
        </w:rPr>
        <w:t xml:space="preserve">Tier One </w:t>
      </w:r>
      <w:r>
        <w:rPr>
          <w:caps w:val="0"/>
          <w:smallCaps w:val="0"/>
          <w:strike w:val="0"/>
          <w:dstrike w:val="0"/>
          <w:outline w:val="0"/>
          <w:color w:val="030303"/>
          <w:sz w:val="28"/>
          <w:szCs w:val="28"/>
          <w:u w:val="none" w:color="030303"/>
          <w:shd w:val="nil" w:color="auto" w:fill="auto"/>
          <w:vertAlign w:val="baseline"/>
          <w:rtl w:val="0"/>
          <w:lang w:val="ru-RU"/>
          <w14:textFill>
            <w14:solidFill>
              <w14:srgbClr w14:val="030303"/>
            </w14:solidFill>
          </w14:textFill>
        </w:rPr>
        <w:t xml:space="preserve">- </w:t>
      </w:r>
      <w:r>
        <w:rPr>
          <w:b w:val="1"/>
          <w:bCs w:val="1"/>
          <w:caps w:val="0"/>
          <w:smallCaps w:val="0"/>
          <w:strike w:val="0"/>
          <w:dstrike w:val="0"/>
          <w:outline w:val="0"/>
          <w:color w:val="030303"/>
          <w:sz w:val="28"/>
          <w:szCs w:val="28"/>
          <w:u w:val="none" w:color="030303"/>
          <w:shd w:val="nil" w:color="auto" w:fill="auto"/>
          <w:vertAlign w:val="baseline"/>
          <w:rtl w:val="0"/>
          <w:lang w:val="en-US"/>
          <w14:textFill>
            <w14:solidFill>
              <w14:srgbClr w14:val="030303"/>
            </w14:solidFill>
          </w14:textFill>
        </w:rPr>
        <w:t xml:space="preserve">Clearly Personal Items: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Items that are clearly personal in nature and uniquely associated with one Grantor shall be attributed to that Grantor as that Grantor's sole property. Such items include, without limitation: clothing, personal jewelry, personal care items, and items that by their nature are exclusively used by one spouse. The Trustee shall attribute such items to the appropriate Grantor based on the nature and ordinary use of the item without further inquiry.</w:t>
      </w:r>
    </w:p>
    <w:p>
      <w:pPr>
        <w:pStyle w:val="Body"/>
        <w:numPr>
          <w:ilvl w:val="0"/>
          <w:numId w:val="24"/>
        </w:numPr>
        <w:bidi w:val="0"/>
        <w:spacing w:before="51" w:line="306" w:lineRule="auto"/>
        <w:ind w:right="370"/>
        <w:jc w:val="left"/>
        <w:rPr>
          <w:outline w:val="0"/>
          <w:color w:val="030303"/>
          <w:sz w:val="28"/>
          <w:szCs w:val="28"/>
          <w:rtl w:val="0"/>
          <w:lang w:val="en-US"/>
          <w14:textFill>
            <w14:solidFill>
              <w14:srgbClr w14:val="030303"/>
            </w14:solidFill>
          </w14:textFill>
        </w:rPr>
      </w:pPr>
      <w:r>
        <w:rPr>
          <w:b w:val="1"/>
          <w:bCs w:val="1"/>
          <w:caps w:val="0"/>
          <w:smallCaps w:val="0"/>
          <w:strike w:val="0"/>
          <w:dstrike w:val="0"/>
          <w:outline w:val="0"/>
          <w:color w:val="030303"/>
          <w:sz w:val="28"/>
          <w:szCs w:val="28"/>
          <w:u w:val="none" w:color="030303"/>
          <w:shd w:val="nil" w:color="auto" w:fill="auto"/>
          <w:vertAlign w:val="baseline"/>
          <w:rtl w:val="0"/>
          <w:lang w:val="en-US"/>
          <w14:textFill>
            <w14:solidFill>
              <w14:srgbClr w14:val="030303"/>
            </w14:solidFill>
          </w14:textFill>
        </w:rPr>
        <w:t xml:space="preserve">Tier Two </w:t>
      </w:r>
      <w:r>
        <w:rPr>
          <w:caps w:val="0"/>
          <w:smallCaps w:val="0"/>
          <w:strike w:val="0"/>
          <w:dstrike w:val="0"/>
          <w:outline w:val="0"/>
          <w:color w:val="030303"/>
          <w:sz w:val="28"/>
          <w:szCs w:val="28"/>
          <w:u w:val="none" w:color="030303"/>
          <w:shd w:val="nil" w:color="auto" w:fill="auto"/>
          <w:vertAlign w:val="baseline"/>
          <w:rtl w:val="0"/>
          <w:lang w:val="ru-RU"/>
          <w14:textFill>
            <w14:solidFill>
              <w14:srgbClr w14:val="030303"/>
            </w14:solidFill>
          </w14:textFill>
        </w:rPr>
        <w:t xml:space="preserve">- </w:t>
      </w:r>
      <w:r>
        <w:rPr>
          <w:b w:val="1"/>
          <w:bCs w:val="1"/>
          <w:caps w:val="0"/>
          <w:smallCaps w:val="0"/>
          <w:strike w:val="0"/>
          <w:dstrike w:val="0"/>
          <w:outline w:val="0"/>
          <w:color w:val="030303"/>
          <w:sz w:val="28"/>
          <w:szCs w:val="28"/>
          <w:u w:val="none" w:color="030303"/>
          <w:shd w:val="nil" w:color="auto" w:fill="auto"/>
          <w:vertAlign w:val="baseline"/>
          <w:rtl w:val="0"/>
          <w:lang w:val="en-US"/>
          <w14:textFill>
            <w14:solidFill>
              <w14:srgbClr w14:val="030303"/>
            </w14:solidFill>
          </w14:textFill>
        </w:rPr>
        <w:t xml:space="preserve">Shared Household Items: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Items acquired for shared domestic use and not uniquely associated with either Grantor shall be presumed to be owned equally (50/50) by both Grantors. This presumption is based on common custom (</w:t>
      </w:r>
      <w:r>
        <w:rPr>
          <w:rFonts w:ascii="Arial" w:hAnsi="Arial"/>
          <w:i w:val="1"/>
          <w:iCs w:val="1"/>
          <w:caps w:val="0"/>
          <w:smallCaps w:val="0"/>
          <w:strike w:val="0"/>
          <w:dstrike w:val="0"/>
          <w:outline w:val="0"/>
          <w:color w:val="030303"/>
          <w:sz w:val="25"/>
          <w:szCs w:val="25"/>
          <w:u w:val="none" w:color="030303"/>
          <w:shd w:val="nil" w:color="auto" w:fill="auto"/>
          <w:vertAlign w:val="baseline"/>
          <w:rtl w:val="0"/>
          <w:lang w:val="fr-FR"/>
          <w14:textFill>
            <w14:solidFill>
              <w14:srgbClr w14:val="030303"/>
            </w14:solidFill>
          </w14:textFill>
        </w:rPr>
        <w:t xml:space="preserve">'urf)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applicable to the shared domestic context and does not require a formal transfer or gift between the Grantors. Such items include, without limitation: sofas, dining tables, beds, mattresses, rugs, dishes, cookware, general appliances, and similar furnishings and household effects. This presumption may be rebutted only by clear evidence of sole ownership documented in Schedule A or by written agreement of the Grantors.</w:t>
      </w:r>
    </w:p>
    <w:p>
      <w:pPr>
        <w:pStyle w:val="Body"/>
        <w:numPr>
          <w:ilvl w:val="0"/>
          <w:numId w:val="25"/>
        </w:numPr>
        <w:bidi w:val="0"/>
        <w:spacing w:before="50" w:line="304" w:lineRule="auto"/>
        <w:ind w:right="506"/>
        <w:jc w:val="left"/>
        <w:rPr>
          <w:outline w:val="0"/>
          <w:color w:val="030303"/>
          <w:sz w:val="28"/>
          <w:szCs w:val="28"/>
          <w:rtl w:val="0"/>
          <w:lang w:val="en-US"/>
          <w14:textFill>
            <w14:solidFill>
              <w14:srgbClr w14:val="030303"/>
            </w14:solidFill>
          </w14:textFill>
        </w:rPr>
      </w:pPr>
      <w:r>
        <w:rPr>
          <w:b w:val="1"/>
          <w:bCs w:val="1"/>
          <w:caps w:val="0"/>
          <w:smallCaps w:val="0"/>
          <w:strike w:val="0"/>
          <w:dstrike w:val="0"/>
          <w:outline w:val="0"/>
          <w:color w:val="030303"/>
          <w:sz w:val="28"/>
          <w:szCs w:val="28"/>
          <w:u w:val="none" w:color="030303"/>
          <w:shd w:val="nil" w:color="auto" w:fill="auto"/>
          <w:vertAlign w:val="baseline"/>
          <w:rtl w:val="0"/>
          <w:lang w:val="en-US"/>
          <w14:textFill>
            <w14:solidFill>
              <w14:srgbClr w14:val="030303"/>
            </w14:solidFill>
          </w14:textFill>
        </w:rPr>
        <w:t xml:space="preserve">Tier Three </w:t>
      </w:r>
      <w:r>
        <w:rPr>
          <w:caps w:val="0"/>
          <w:smallCaps w:val="0"/>
          <w:strike w:val="0"/>
          <w:dstrike w:val="0"/>
          <w:outline w:val="0"/>
          <w:color w:val="030303"/>
          <w:sz w:val="28"/>
          <w:szCs w:val="28"/>
          <w:u w:val="none" w:color="030303"/>
          <w:shd w:val="nil" w:color="auto" w:fill="auto"/>
          <w:vertAlign w:val="baseline"/>
          <w:rtl w:val="0"/>
          <w:lang w:val="ru-RU"/>
          <w14:textFill>
            <w14:solidFill>
              <w14:srgbClr w14:val="030303"/>
            </w14:solidFill>
          </w14:textFill>
        </w:rPr>
        <w:t xml:space="preserve">- </w:t>
      </w:r>
      <w:r>
        <w:rPr>
          <w:b w:val="1"/>
          <w:bCs w:val="1"/>
          <w:caps w:val="0"/>
          <w:smallCaps w:val="0"/>
          <w:strike w:val="0"/>
          <w:dstrike w:val="0"/>
          <w:outline w:val="0"/>
          <w:color w:val="030303"/>
          <w:sz w:val="28"/>
          <w:szCs w:val="28"/>
          <w:u w:val="none" w:color="030303"/>
          <w:shd w:val="nil" w:color="auto" w:fill="auto"/>
          <w:vertAlign w:val="baseline"/>
          <w:rtl w:val="0"/>
          <w:lang w:val="en-US"/>
          <w14:textFill>
            <w14:solidFill>
              <w14:srgbClr w14:val="030303"/>
            </w14:solidFill>
          </w14:textFill>
        </w:rPr>
        <w:t xml:space="preserve">Items with a Predominant User: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Items that have a clearly predominant user but whose ownership is not otherwise documented shall be attributed to the spouse who predominantly uses them. Such items include, without limitation: a spouse's dedicated office furniture, work tools, hobby equipment, and personal workspace electronics. The Trustee shall make this determination in good faith based on observable use patterns and any available documentation</w:t>
      </w:r>
      <w:r>
        <w:rPr>
          <w:caps w:val="0"/>
          <w:smallCaps w:val="0"/>
          <w:strike w:val="0"/>
          <w:dstrike w:val="0"/>
          <w:outline w:val="0"/>
          <w:color w:val="363636"/>
          <w:sz w:val="27"/>
          <w:szCs w:val="27"/>
          <w:u w:val="none" w:color="363636"/>
          <w:shd w:val="nil" w:color="auto" w:fill="auto"/>
          <w:vertAlign w:val="baseline"/>
          <w:rtl w:val="0"/>
          <w14:textFill>
            <w14:solidFill>
              <w14:srgbClr w14:val="363636"/>
            </w14:solidFill>
          </w14:textFill>
        </w:rPr>
        <w:t>.</w:t>
      </w:r>
    </w:p>
    <w:p>
      <w:pPr>
        <w:pStyle w:val="Body"/>
        <w:numPr>
          <w:ilvl w:val="0"/>
          <w:numId w:val="26"/>
        </w:numPr>
        <w:bidi w:val="0"/>
        <w:spacing w:before="52" w:line="306" w:lineRule="auto"/>
        <w:ind w:right="1088"/>
        <w:jc w:val="both"/>
        <w:rPr>
          <w:outline w:val="0"/>
          <w:color w:val="030303"/>
          <w:sz w:val="28"/>
          <w:szCs w:val="28"/>
          <w:rtl w:val="0"/>
          <w:lang w:val="fr-FR"/>
          <w14:textFill>
            <w14:solidFill>
              <w14:srgbClr w14:val="030303"/>
            </w14:solidFill>
          </w14:textFill>
        </w:rPr>
      </w:pPr>
      <w:r>
        <w:rPr>
          <w:b w:val="1"/>
          <w:bCs w:val="1"/>
          <w:caps w:val="0"/>
          <w:smallCaps w:val="0"/>
          <w:strike w:val="0"/>
          <w:dstrike w:val="0"/>
          <w:outline w:val="0"/>
          <w:color w:val="030303"/>
          <w:sz w:val="28"/>
          <w:szCs w:val="28"/>
          <w:u w:val="none" w:color="030303"/>
          <w:shd w:val="nil" w:color="auto" w:fill="auto"/>
          <w:vertAlign w:val="baseline"/>
          <w:rtl w:val="0"/>
          <w:lang w:val="fr-FR"/>
          <w14:textFill>
            <w14:solidFill>
              <w14:srgbClr w14:val="030303"/>
            </w14:solidFill>
          </w14:textFill>
        </w:rPr>
        <w:t>Exclusions - High-Value Personal Items: High-value personal items that the Grantors wish the Trustee to identify specifically — including fine jewelry, works of art, collectibles, and other items of significant monetary or sentimental value — are excluded from the attribution framework of this Article and should instead be listed among the major assets on Schedule A.</w:t>
      </w:r>
      <w:r>
        <w:rPr>
          <w:caps w:val="0"/>
          <w:smallCaps w:val="0"/>
          <w:strike w:val="0"/>
          <w:dstrike w:val="0"/>
          <w:outline w:val="0"/>
          <w:color w:val="030303"/>
          <w:sz w:val="28"/>
          <w:szCs w:val="28"/>
          <w:u w:val="none" w:color="030303"/>
          <w:shd w:val="nil" w:color="auto" w:fill="auto"/>
          <w:vertAlign w:val="baseline"/>
          <w:rtl w:val="0"/>
          <w:lang w:val="ru-RU"/>
          <w14:textFill>
            <w14:solidFill>
              <w14:srgbClr w14:val="030303"/>
            </w14:solidFill>
          </w14:textFill>
        </w:rPr>
      </w:r>
      <w:r>
        <w:rPr>
          <w:b w:val="1"/>
          <w:bCs w:val="1"/>
          <w:caps w:val="0"/>
          <w:smallCaps w:val="0"/>
          <w:strike w:val="0"/>
          <w:dstrike w:val="0"/>
          <w:outline w:val="0"/>
          <w:color w:val="030303"/>
          <w:sz w:val="28"/>
          <w:szCs w:val="28"/>
          <w:u w:val="none" w:color="030303"/>
          <w:shd w:val="nil" w:color="auto" w:fill="auto"/>
          <w:vertAlign w:val="baseline"/>
          <w:rtl w:val="0"/>
          <w:lang w:val="en-US"/>
          <w14:textFill>
            <w14:solidFill>
              <w14:srgbClr w14:val="030303"/>
            </w14:solidFill>
          </w14:textFill>
        </w:rPr>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r>
    </w:p>
    <w:p>
      <w:pPr>
        <w:pStyle w:val="Body"/>
        <w:numPr>
          <w:ilvl w:val="1"/>
          <w:numId w:val="26"/>
        </w:numPr>
        <w:bidi w:val="0"/>
        <w:spacing w:before="5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Motor vehicles are generally excluded from this Trust and from Schedule A. The Grantors are encouraged to use their state's vehicle transfer-on-death designation (or equivalent nonprobate transfer) rather than transferring vehicles into the Trust or listing them on Schedule A.</w:t>
      </w:r>
    </w:p>
    <w:p>
      <w:pPr>
        <w:pStyle w:val="Body"/>
        <w:numPr>
          <w:ilvl w:val="1"/>
          <w:numId w:val="27"/>
        </w:numPr>
        <w:bidi w:val="0"/>
        <w:spacing w:before="151" w:line="297" w:lineRule="auto"/>
        <w:ind w:right="114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Ordinary household items such as clothing, furniture, appliances, dishes, and everyday personal effects remain subject to the three-tier attribution framework above and need not be listed on Schedule A.</w:t>
      </w:r>
    </w:p>
    <w:p>
      <w:pPr>
        <w:pStyle w:val="Body"/>
        <w:numPr>
          <w:ilvl w:val="1"/>
          <w:numId w:val="26"/>
        </w:numPr>
        <w:bidi w:val="0"/>
        <w:spacing w:before="7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r>
    </w:p>
    <w:p>
      <w:pPr>
        <w:pStyle w:val="Body"/>
        <w:numPr>
          <w:ilvl w:val="1"/>
          <w:numId w:val="28"/>
        </w:numPr>
        <w:bidi w:val="0"/>
        <w:spacing w:before="15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r>
    </w:p>
    <w:p>
      <w:pPr>
        <w:pStyle w:val="Body"/>
        <w:numPr>
          <w:ilvl w:val="1"/>
          <w:numId w:val="29"/>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r>
    </w:p>
    <w:p>
      <w:pPr>
        <w:pStyle w:val="Body"/>
        <w:spacing w:before="156" w:line="300" w:lineRule="auto"/>
        <w:ind w:left="958"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Grantors are encouraged to update Schedule A periodically to reflect acquisitions or dispositions of major assets so that the Trustee is not required to make attribution or identification determinations under uncertainty.</w:t>
      </w:r>
    </w:p>
    <w:p>
      <w:pPr>
        <w:pStyle w:val="Body"/>
        <w:numPr>
          <w:ilvl w:val="0"/>
          <w:numId w:val="23"/>
        </w:numPr>
        <w:bidi w:val="0"/>
        <w:spacing w:before="71" w:line="300" w:lineRule="auto"/>
        <w:ind w:right="601"/>
        <w:jc w:val="left"/>
        <w:rPr>
          <w:outline w:val="0"/>
          <w:color w:val="030303"/>
          <w:sz w:val="28"/>
          <w:szCs w:val="28"/>
          <w:rtl w:val="0"/>
          <w:lang w:val="en-US"/>
          <w14:textFill>
            <w14:solidFill>
              <w14:srgbClr w14:val="030303"/>
            </w14:solidFill>
          </w14:textFill>
        </w:rPr>
      </w:pPr>
      <w:r>
        <w:rPr>
          <w:b w:val="1"/>
          <w:bCs w:val="1"/>
          <w:caps w:val="0"/>
          <w:smallCaps w:val="0"/>
          <w:strike w:val="0"/>
          <w:dstrike w:val="0"/>
          <w:outline w:val="0"/>
          <w:color w:val="030303"/>
          <w:sz w:val="28"/>
          <w:szCs w:val="28"/>
          <w:u w:val="none" w:color="030303"/>
          <w:shd w:val="nil" w:color="auto" w:fill="auto"/>
          <w:vertAlign w:val="baseline"/>
          <w:rtl w:val="0"/>
          <w:lang w:val="en-US"/>
          <w14:textFill>
            <w14:solidFill>
              <w14:srgbClr w14:val="030303"/>
            </w14:solidFill>
          </w14:textFill>
        </w:rPr>
        <w:t xml:space="preserve">Trustee Administration Upon Death: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Upon the death of either Grantor, the Trustee shall administer tangible personal property subject to this Article as follows:</w:t>
      </w:r>
    </w:p>
    <w:p>
      <w:pPr>
        <w:pStyle w:val="Body"/>
        <w:numPr>
          <w:ilvl w:val="1"/>
          <w:numId w:val="23"/>
        </w:numPr>
        <w:bidi w:val="0"/>
        <w:spacing w:before="62" w:line="300" w:lineRule="auto"/>
        <w:ind w:right="588"/>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Attribution: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shall apply the three-tier framework above in good faith to determine the ownership of tangible personal property as of the date of death.</w:t>
      </w:r>
    </w:p>
    <w:p>
      <w:pPr>
        <w:pStyle w:val="Body"/>
        <w:numPr>
          <w:ilvl w:val="1"/>
          <w:numId w:val="30"/>
        </w:numPr>
        <w:bidi w:val="0"/>
        <w:spacing w:before="79" w:line="306" w:lineRule="auto"/>
        <w:ind w:right="439"/>
        <w:jc w:val="left"/>
        <w:rPr>
          <w:outline w:val="0"/>
          <w:color w:val="030303"/>
          <w:sz w:val="26"/>
          <w:szCs w:val="26"/>
          <w:rtl w:val="0"/>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 xml:space="preserve">Written Summary: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shall prepare a brief written summary of the Trustee's attribution determinations and provide it to all Islamic heirs of the deceased Grantor.</w:t>
      </w:r>
    </w:p>
    <w:p>
      <w:pPr>
        <w:pStyle w:val="Body"/>
        <w:numPr>
          <w:ilvl w:val="1"/>
          <w:numId w:val="31"/>
        </w:numPr>
        <w:bidi w:val="0"/>
        <w:spacing w:before="53" w:line="306" w:lineRule="auto"/>
        <w:ind w:right="629"/>
        <w:jc w:val="both"/>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Encouragement of Sulh: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Where attribution is unclear or disputed, the Trustee shall encourage the heirs to reach an amicable settlement </w:t>
      </w:r>
      <w:r>
        <w:rPr>
          <w:rFonts w:ascii="Arial" w:hAnsi="Arial"/>
          <w:i w:val="1"/>
          <w:iCs w:val="1"/>
          <w:caps w:val="0"/>
          <w:smallCaps w:val="0"/>
          <w:strike w:val="0"/>
          <w:dstrike w:val="0"/>
          <w:outline w:val="0"/>
          <w:color w:val="030303"/>
          <w:sz w:val="23"/>
          <w:szCs w:val="23"/>
          <w:u w:val="none" w:color="030303"/>
          <w:shd w:val="nil" w:color="auto" w:fill="auto"/>
          <w:vertAlign w:val="baseline"/>
          <w:rtl w:val="0"/>
          <w:lang w:val="pt-PT"/>
          <w14:textFill>
            <w14:solidFill>
              <w14:srgbClr w14:val="030303"/>
            </w14:solidFill>
          </w14:textFill>
        </w:rPr>
        <w:t xml:space="preserve">(sulh)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among themselves. The Trustee may facilitate but is not required to arbitrate such discussions.</w:t>
      </w:r>
    </w:p>
    <w:p>
      <w:pPr>
        <w:pStyle w:val="Body"/>
        <w:numPr>
          <w:ilvl w:val="1"/>
          <w:numId w:val="32"/>
        </w:numPr>
        <w:bidi w:val="0"/>
        <w:spacing w:before="52" w:line="306" w:lineRule="auto"/>
        <w:ind w:right="461"/>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Formal Distribution: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Only if heirs cannot reach </w:t>
      </w:r>
      <w:r>
        <w:rPr>
          <w:rFonts w:ascii="Arial" w:hAnsi="Arial"/>
          <w:i w:val="1"/>
          <w:iCs w:val="1"/>
          <w:caps w:val="0"/>
          <w:smallCaps w:val="0"/>
          <w:strike w:val="0"/>
          <w:dstrike w:val="0"/>
          <w:outline w:val="0"/>
          <w:color w:val="030303"/>
          <w:sz w:val="23"/>
          <w:szCs w:val="23"/>
          <w:u w:val="none" w:color="030303"/>
          <w:shd w:val="nil" w:color="auto" w:fill="auto"/>
          <w:vertAlign w:val="baseline"/>
          <w:rtl w:val="0"/>
          <w:lang w:val="pt-PT"/>
          <w14:textFill>
            <w14:solidFill>
              <w14:srgbClr w14:val="030303"/>
            </w14:solidFill>
          </w14:textFill>
        </w:rPr>
        <w:t xml:space="preserve">sulh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and the amounts in dispute are material shall the Trustee proceed to formal valuation and distribution. In such cases, the Trustee shall value the disputed items in good faith, calculate each heir's fractional share, and satisfy that share first from other distributable trust assets</w:t>
      </w:r>
      <w:r>
        <w:rPr>
          <w:caps w:val="0"/>
          <w:smallCaps w:val="0"/>
          <w:strike w:val="0"/>
          <w:dstrike w:val="0"/>
          <w:outline w:val="0"/>
          <w:color w:val="2f2f2f"/>
          <w:sz w:val="27"/>
          <w:szCs w:val="27"/>
          <w:u w:val="none" w:color="2f2f2f"/>
          <w:shd w:val="nil" w:color="auto" w:fill="auto"/>
          <w:vertAlign w:val="baseline"/>
          <w:rtl w:val="0"/>
          <w14:textFill>
            <w14:solidFill>
              <w14:srgbClr w14:val="2F2F2F"/>
            </w14:solidFill>
          </w14:textFill>
        </w:rPr>
        <w:t xml:space="preserv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Sale of tangible personal property shall be a last resort.</w:t>
      </w:r>
    </w:p>
    <w:p>
      <w:pPr>
        <w:pStyle w:val="Body"/>
        <w:numPr>
          <w:ilvl w:val="0"/>
          <w:numId w:val="12"/>
        </w:numPr>
        <w:bidi w:val="0"/>
        <w:spacing w:before="118" w:line="309" w:lineRule="auto"/>
        <w:ind w:right="64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Trustee Protection: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Trustee's good-faith attribution and administration of tangible personal property under this Article shall be conclusive absent manifest error or abuse of discretion. No Trustee shall be liable for attribution determinations made in good faith in accordance with this framework.</w:t>
      </w:r>
    </w:p>
    <w:p>
      <w:pPr>
        <w:pStyle w:val="Body"/>
        <w:tabs>
          <w:tab w:val="left" w:pos="957"/>
          <w:tab w:val="left" w:pos="962"/>
        </w:tabs>
        <w:spacing w:before="118" w:line="309" w:lineRule="auto"/>
        <w:ind w:right="649" w:firstLine="0"/>
        <w:rPr>
          <w:outline w:val="0"/>
          <w:color w:val="030303"/>
          <w:sz w:val="27"/>
          <w:szCs w:val="27"/>
          <w:u w:color="030303"/>
          <w14:textFill>
            <w14:solidFill>
              <w14:srgbClr w14:val="030303"/>
            </w14:solidFill>
          </w14:textFill>
        </w:rPr>
      </w:pPr>
      <w:r>
        <w:rPr>
          <w:outline w:val="0"/>
          <w:color w:val="030303"/>
          <w:sz w:val="27"/>
          <w:szCs w:val="27"/>
          <w:u w:color="030303"/>
          <w14:textFill>
            <w14:solidFill>
              <w14:srgbClr w14:val="030303"/>
            </w14:solidFill>
          </w14:textFill>
        </w:rPr>
      </w:r>
    </w:p>
    <w:p>
      <w:pPr>
        <w:pStyle w:val="Body"/>
        <w:tabs>
          <w:tab w:val="left" w:pos="957"/>
          <w:tab w:val="left" w:pos="962"/>
        </w:tabs>
        <w:spacing w:before="118" w:line="309" w:lineRule="auto"/>
        <w:ind w:right="649" w:firstLine="720"/>
        <w:rPr>
          <w:outline w:val="0"/>
          <w:color w:val="030303"/>
          <w:sz w:val="27"/>
          <w:szCs w:val="27"/>
          <w:u w:color="030303"/>
          <w14:textFill>
            <w14:solidFill>
              <w14:srgbClr w14:val="030303"/>
            </w14:solidFill>
          </w14:textFill>
        </w:rPr>
      </w:pPr>
      <w:r>
        <w:rPr>
          <w:outline w:val="0"/>
          <w:color w:val="030303"/>
          <w:sz w:val="27"/>
          <w:szCs w:val="27"/>
          <w:u w:color="030303"/>
          <w14:textFill>
            <w14:solidFill>
              <w14:srgbClr w14:val="030303"/>
            </w14:solidFill>
          </w14:textFill>
        </w:rPr>
      </w:r>
    </w:p>
    <w:p>
      <w:pPr>
        <w:pStyle w:val="heading 6"/>
        <w:spacing w:before="1"/>
        <w:ind w:firstLine="363"/>
      </w:pPr>
      <w:r>
        <w:rPr>
          <w:outline w:val="0"/>
          <w:color w:val="030303"/>
          <w:u w:color="030303"/>
          <w:rtl w:val="0"/>
          <w:lang w:val="en-US"/>
          <w14:textFill>
            <w14:solidFill>
              <w14:srgbClr w14:val="030303"/>
            </w14:solidFill>
          </w14:textFill>
        </w:rPr>
        <w:t>ARTICLE FIVE</w:t>
      </w:r>
    </w:p>
    <w:p>
      <w:pPr>
        <w:pStyle w:val="Body"/>
        <w:ind w:left="360"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Intent to Comply with Islamic Financial Ethics and the Islamic Laws of Inheritance</w:t>
      </w:r>
    </w:p>
    <w:p>
      <w:pPr>
        <w:pStyle w:val="Body"/>
        <w:numPr>
          <w:ilvl w:val="0"/>
          <w:numId w:val="9"/>
        </w:numPr>
        <w:bidi w:val="0"/>
        <w:spacing w:before="215" w:line="306" w:lineRule="auto"/>
        <w:ind w:right="41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Intent to Comply with Islamic Inheritance: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It is our express intent in creating this trust agreement and any trusts created therefrom that the assets transferred to it are held for our benefit while we are alive and are distributed upon our death in compliance with the Islamic Law of</w:t>
      </w:r>
      <w:r>
        <w:rPr>
          <w:outline w:val="0"/>
          <w:color w:val="030303"/>
          <w:sz w:val="27"/>
          <w:szCs w:val="27"/>
          <w:u w:color="030303"/>
          <w:rtl w:val="0"/>
          <w14:textFill>
            <w14:solidFill>
              <w14:srgbClr w14:val="030303"/>
            </w14:solidFill>
          </w14:textFill>
        </w:rPr>
        <w:t xml:space="preserv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lnheritance as that is defined in Schedule </w:t>
      </w:r>
      <w:r>
        <w:rPr>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 xml:space="preserve">B.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We understand, acknowledge, and accept that our decision to do so may result in:</w:t>
      </w:r>
    </w:p>
    <w:p>
      <w:pPr>
        <w:pStyle w:val="Body"/>
        <w:numPr>
          <w:ilvl w:val="1"/>
          <w:numId w:val="9"/>
        </w:numPr>
        <w:bidi w:val="0"/>
        <w:spacing w:before="56" w:line="312" w:lineRule="auto"/>
        <w:ind w:right="1294"/>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Federal and/or state taxes that might otherwise be avoided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not for the above compliance;</w:t>
      </w:r>
    </w:p>
    <w:p>
      <w:pPr>
        <w:pStyle w:val="Body"/>
        <w:numPr>
          <w:ilvl w:val="1"/>
          <w:numId w:val="33"/>
        </w:numPr>
        <w:bidi w:val="0"/>
        <w:spacing w:before="48"/>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 unequal distribution to our children on the basis of gender;</w:t>
      </w:r>
    </w:p>
    <w:p>
      <w:pPr>
        <w:pStyle w:val="Body"/>
        <w:numPr>
          <w:ilvl w:val="1"/>
          <w:numId w:val="33"/>
        </w:numPr>
        <w:bidi w:val="0"/>
        <w:spacing w:before="156"/>
        <w:ind w:right="0"/>
        <w:jc w:val="both"/>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distribution to relatives who are not our heirs under the laws of Texas; and</w:t>
      </w:r>
    </w:p>
    <w:p>
      <w:pPr>
        <w:pStyle w:val="Body"/>
        <w:numPr>
          <w:ilvl w:val="1"/>
          <w:numId w:val="34"/>
        </w:numPr>
        <w:bidi w:val="0"/>
        <w:spacing w:before="141" w:line="306" w:lineRule="auto"/>
        <w:ind w:right="768"/>
        <w:jc w:val="both"/>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liquidation and distribution of property that might benefit a surviving Grantor and result in his or her receipt of a smaller share than he or she might otherwise be entitled to under community property law.</w:t>
      </w:r>
    </w:p>
    <w:p>
      <w:pPr>
        <w:pStyle w:val="Body"/>
        <w:numPr>
          <w:ilvl w:val="0"/>
          <w:numId w:val="11"/>
        </w:numPr>
        <w:bidi w:val="0"/>
        <w:spacing w:before="115" w:line="312" w:lineRule="auto"/>
        <w:ind w:right="788"/>
        <w:jc w:val="both"/>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Intent to Comply with Islamic Financial Ethics: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We have empowered our Trustee with discretion to manage, distribute, and invest the assets in our trust, but we instruct our</w:t>
      </w:r>
    </w:p>
    <w:p>
      <w:pPr>
        <w:pStyle w:val="Body"/>
        <w:spacing w:before="77" w:line="306" w:lineRule="auto"/>
        <w:ind w:left="941" w:right="389" w:firstLine="17"/>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Trustees to invest our assets in a manner that is compliant with the ethics, guidance, and boundaries of lslamic Law as that is defined below. Islamic law prohibits the acquisition of wealth in ways that contravene the religion's principles of lawfulness, mutual consent, and goodwill. From this principle these investment criteria follow: (1) Investments cannot be made into forbidden assets or illicit activity, including alcohol, pork, gambling, and pornography. In the instance that a company conducts a permissible sale or activity as its primary source of income, but has accessory businesses or business units that conduct impermissible activities, such activities must only constitute a trivial amount of the company's revenue. (2) Reasonable efforts must be made to avoid investment into companies that have more than thirty-three percent of their value (determined as market capitalization, which is the total market value of the company's outstanding shares) in interest-bearing debt. One may consider the level of social good the company is achieving when deciding whether the level of interest-bearing debt is tolerable, or they may choose not to make such a consideration. (3) Islamic Law prohibits transactions involving Riba (commonly translated as "interest" or "usury" in English), which is a charge for the use of another's money. The preceding investment principle is a direct and specific illustration of how </w:t>
      </w:r>
      <w:r>
        <w:rPr>
          <w:rFonts w:ascii="Arial" w:hAnsi="Arial"/>
          <w:i w:val="1"/>
          <w:iCs w:val="1"/>
          <w:caps w:val="0"/>
          <w:smallCaps w:val="0"/>
          <w:strike w:val="0"/>
          <w:dstrike w:val="0"/>
          <w:outline w:val="0"/>
          <w:color w:val="030303"/>
          <w:sz w:val="25"/>
          <w:szCs w:val="25"/>
          <w:u w:val="none" w:color="030303"/>
          <w:shd w:val="nil" w:color="auto" w:fill="auto"/>
          <w:vertAlign w:val="baseline"/>
          <w:rtl w:val="0"/>
          <w:lang w:val="es-ES_tradnl"/>
          <w14:textFill>
            <w14:solidFill>
              <w14:srgbClr w14:val="030303"/>
            </w14:solidFill>
          </w14:textFill>
        </w:rPr>
        <w:t xml:space="preserve">Riba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must be avoided, but all reasonable efforts should be made to avoid </w:t>
      </w:r>
      <w:r>
        <w:rPr>
          <w:rFonts w:ascii="Arial" w:hAnsi="Arial"/>
          <w:i w:val="1"/>
          <w:iCs w:val="1"/>
          <w:caps w:val="0"/>
          <w:smallCaps w:val="0"/>
          <w:strike w:val="0"/>
          <w:dstrike w:val="0"/>
          <w:outline w:val="0"/>
          <w:color w:val="030303"/>
          <w:sz w:val="25"/>
          <w:szCs w:val="25"/>
          <w:u w:val="none" w:color="030303"/>
          <w:shd w:val="nil" w:color="auto" w:fill="auto"/>
          <w:vertAlign w:val="baseline"/>
          <w:rtl w:val="0"/>
          <w:lang w:val="es-ES_tradnl"/>
          <w14:textFill>
            <w14:solidFill>
              <w14:srgbClr w14:val="030303"/>
            </w14:solidFill>
          </w14:textFill>
        </w:rPr>
        <w:t xml:space="preserve">Riba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in other circumstances that should arise. (4) Islamic Law prohibits transactions involving </w:t>
      </w:r>
      <w:r>
        <w:rPr>
          <w:rFonts w:ascii="Arial" w:hAnsi="Arial"/>
          <w:i w:val="1"/>
          <w:iCs w:val="1"/>
          <w:caps w:val="0"/>
          <w:smallCaps w:val="0"/>
          <w:strike w:val="0"/>
          <w:dstrike w:val="0"/>
          <w:outline w:val="0"/>
          <w:color w:val="030303"/>
          <w:sz w:val="25"/>
          <w:szCs w:val="25"/>
          <w:u w:val="none" w:color="030303"/>
          <w:shd w:val="nil" w:color="auto" w:fill="auto"/>
          <w:vertAlign w:val="baseline"/>
          <w:rtl w:val="0"/>
          <w:lang w:val="sv-SE"/>
          <w14:textFill>
            <w14:solidFill>
              <w14:srgbClr w14:val="030303"/>
            </w14:solidFill>
          </w14:textFill>
        </w:rPr>
        <w:t xml:space="preserve">gharar,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which means "uncertainty" and is associated with deception involving uncertainty and risk. While all transactions involve some amount of risk, such minor </w:t>
      </w:r>
      <w:r>
        <w:rPr>
          <w:rFonts w:ascii="Arial" w:hAnsi="Arial"/>
          <w:i w:val="1"/>
          <w:iCs w:val="1"/>
          <w:caps w:val="0"/>
          <w:smallCaps w:val="0"/>
          <w:strike w:val="0"/>
          <w:dstrike w:val="0"/>
          <w:outline w:val="0"/>
          <w:color w:val="030303"/>
          <w:sz w:val="25"/>
          <w:szCs w:val="25"/>
          <w:u w:val="none" w:color="030303"/>
          <w:shd w:val="nil" w:color="auto" w:fill="auto"/>
          <w:vertAlign w:val="baseline"/>
          <w:rtl w:val="0"/>
          <w:lang w:val="sv-SE"/>
          <w14:textFill>
            <w14:solidFill>
              <w14:srgbClr w14:val="030303"/>
            </w14:solidFill>
          </w14:textFill>
        </w:rPr>
        <w:t xml:space="preserve">gharar </w:t>
      </w:r>
      <w:r>
        <w:rPr>
          <w:caps w:val="0"/>
          <w:smallCaps w:val="0"/>
          <w:strike w:val="0"/>
          <w:dstrike w:val="0"/>
          <w:outline w:val="0"/>
          <w:color w:val="030303"/>
          <w:sz w:val="27"/>
          <w:szCs w:val="27"/>
          <w:u w:val="none" w:color="030303"/>
          <w:shd w:val="nil" w:color="auto" w:fill="auto"/>
          <w:vertAlign w:val="baseline"/>
          <w:rtl w:val="0"/>
          <w:lang w:val="fr-FR"/>
          <w14:textFill>
            <w14:solidFill>
              <w14:srgbClr w14:val="030303"/>
            </w14:solidFill>
          </w14:textFill>
        </w:rPr>
        <w:t xml:space="preserve">is permissible. Impermissible </w:t>
      </w:r>
      <w:r>
        <w:rPr>
          <w:rFonts w:ascii="Arial" w:hAnsi="Arial"/>
          <w:i w:val="1"/>
          <w:iCs w:val="1"/>
          <w:caps w:val="0"/>
          <w:smallCaps w:val="0"/>
          <w:strike w:val="0"/>
          <w:dstrike w:val="0"/>
          <w:outline w:val="0"/>
          <w:color w:val="030303"/>
          <w:sz w:val="25"/>
          <w:szCs w:val="25"/>
          <w:u w:val="none" w:color="030303"/>
          <w:shd w:val="nil" w:color="auto" w:fill="auto"/>
          <w:vertAlign w:val="baseline"/>
          <w:rtl w:val="0"/>
          <w:lang w:val="sv-SE"/>
          <w14:textFill>
            <w14:solidFill>
              <w14:srgbClr w14:val="030303"/>
            </w14:solidFill>
          </w14:textFill>
        </w:rPr>
        <w:t xml:space="preserve">gharar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is present when there is (i) uncertain existence, quality, or characteristics of a commodity or </w:t>
      </w:r>
      <w:r>
        <w:rPr>
          <w:caps w:val="0"/>
          <w:smallCaps w:val="0"/>
          <w:strike w:val="0"/>
          <w:dstrike w:val="0"/>
          <w:outline w:val="0"/>
          <w:color w:val="030303"/>
          <w:sz w:val="25"/>
          <w:szCs w:val="25"/>
          <w:u w:val="none" w:color="030303"/>
          <w:shd w:val="nil" w:color="auto" w:fill="auto"/>
          <w:vertAlign w:val="baseline"/>
          <w:rtl w:val="0"/>
          <w14:textFill>
            <w14:solidFill>
              <w14:srgbClr w14:val="030303"/>
            </w14:solidFill>
          </w14:textFill>
        </w:rPr>
        <w:t xml:space="preserve">(ii)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pure speculation where an outcome depends on excessive uncertainty and this risk is not shared. Notable financial instruments that involve </w:t>
      </w:r>
      <w:r>
        <w:rPr>
          <w:rFonts w:ascii="Arial" w:hAnsi="Arial"/>
          <w:i w:val="1"/>
          <w:iCs w:val="1"/>
          <w:caps w:val="0"/>
          <w:smallCaps w:val="0"/>
          <w:strike w:val="0"/>
          <w:dstrike w:val="0"/>
          <w:outline w:val="0"/>
          <w:color w:val="030303"/>
          <w:sz w:val="25"/>
          <w:szCs w:val="25"/>
          <w:u w:val="none" w:color="030303"/>
          <w:shd w:val="nil" w:color="auto" w:fill="auto"/>
          <w:vertAlign w:val="baseline"/>
          <w:rtl w:val="0"/>
          <w:lang w:val="sv-SE"/>
          <w14:textFill>
            <w14:solidFill>
              <w14:srgbClr w14:val="030303"/>
            </w14:solidFill>
          </w14:textFill>
        </w:rPr>
        <w:t xml:space="preserve">gharar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include derivative transactions such as forwards, futures, options, and forms of speculation such as short selling.</w:t>
      </w:r>
    </w:p>
    <w:p>
      <w:pPr>
        <w:pStyle w:val="Body"/>
        <w:numPr>
          <w:ilvl w:val="0"/>
          <w:numId w:val="35"/>
        </w:numPr>
        <w:bidi w:val="0"/>
        <w:spacing w:before="42" w:line="306" w:lineRule="auto"/>
        <w:ind w:right="427"/>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Power to Review and Direct Investments: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During the joint lifetimes of the Grantors, the Grantors reserve the right to review and direct the Trustee with respect to investment decisions concerning community property. Each Grantor also reserves the right to review and direct the Trustee with respect to that Grantor's separate property. The Trustee shall not be required to seek prior approval from the Grantors before making investment decisions, but shall comply with any written investment direction delivered by the applicable Grantor. All investment decisions shall remain subject to the Islamic Financial Ethics described above. Any investment direction provided by a Grantor shall relieve the Trustee of liability for complying with such direction, except in cases of willful misconduct.</w:t>
      </w:r>
    </w:p>
    <w:p>
      <w:pPr>
        <w:pStyle w:val="Body"/>
        <w:tabs>
          <w:tab w:val="left" w:pos="958"/>
          <w:tab w:val="left" w:pos="960"/>
        </w:tabs>
        <w:bidi w:val="0"/>
        <w:spacing w:before="42" w:line="306" w:lineRule="auto"/>
        <w:ind w:left="0" w:right="427" w:firstLine="0"/>
        <w:jc w:val="left"/>
        <w:rPr>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14:textFill>
            <w14:solidFill>
              <w14:srgbClr w14:val="030303"/>
            </w14:solidFill>
          </w14:textFill>
        </w:rPr>
        <mc:AlternateContent>
          <mc:Choice Requires="wps">
            <w:drawing xmlns:a="http://schemas.openxmlformats.org/drawingml/2006/main">
              <wp:anchor distT="0" distB="0" distL="0" distR="0" simplePos="0" relativeHeight="251673600" behindDoc="0" locked="0" layoutInCell="1" allowOverlap="1">
                <wp:simplePos x="0" y="0"/>
                <wp:positionH relativeFrom="margin">
                  <wp:posOffset>-6349</wp:posOffset>
                </wp:positionH>
                <wp:positionV relativeFrom="line">
                  <wp:posOffset>356145</wp:posOffset>
                </wp:positionV>
                <wp:extent cx="6743700" cy="12700"/>
                <wp:effectExtent l="0" t="0" r="0" b="0"/>
                <wp:wrapTopAndBottom distT="0" distB="0"/>
                <wp:docPr id="1073741830"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31" style="visibility:visible;position:absolute;margin-left:-0.5pt;margin-top:28.0pt;width:531.0pt;height:1.0pt;z-index:251673600;mso-position-horizontal:absolute;mso-position-horizontal-relative:margin;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margin"/>
              </v:rect>
            </w:pict>
          </mc:Fallback>
        </mc:AlternateContent>
      </w:r>
    </w:p>
    <w:p>
      <w:pPr>
        <w:pStyle w:val="Body"/>
        <w:spacing w:before="1"/>
        <w:ind w:firstLine="363"/>
        <w:rPr>
          <w:caps w:val="0"/>
          <w:smallCaps w:val="0"/>
          <w:strike w:val="0"/>
          <w:dstrike w:val="0"/>
          <w:u w:val="none" w:color="030303"/>
          <w:shd w:val="nil" w:color="auto" w:fill="auto"/>
          <w:vertAlign w:val="baseline"/>
        </w:rPr>
      </w:pPr>
    </w:p>
    <w:p>
      <w:pPr>
        <w:pStyle w:val="heading 6"/>
        <w:spacing w:before="1"/>
        <w:ind w:firstLine="363"/>
      </w:pPr>
      <w:r>
        <w:rPr>
          <w:outline w:val="0"/>
          <w:color w:val="030303"/>
          <w:u w:color="030303"/>
          <w:rtl w:val="0"/>
          <w:lang w:val="en-US"/>
          <w14:textFill>
            <w14:solidFill>
              <w14:srgbClr w14:val="030303"/>
            </w14:solidFill>
          </w14:textFill>
        </w:rPr>
        <w:t>ARTICLE SIX</w:t>
      </w:r>
    </w:p>
    <w:p>
      <w:pPr>
        <w:pStyle w:val="Body"/>
        <w:spacing w:before="72"/>
        <w:ind w:left="360" w:firstLine="0"/>
        <w:jc w:val="both"/>
        <w:rPr>
          <w:b w:val="1"/>
          <w:bCs w:val="1"/>
          <w:sz w:val="26"/>
          <w:szCs w:val="26"/>
        </w:rPr>
      </w:pPr>
      <w:r>
        <w:rPr>
          <w:b w:val="1"/>
          <w:bCs w:val="1"/>
          <w:outline w:val="0"/>
          <w:color w:val="030303"/>
          <w:sz w:val="26"/>
          <w:szCs w:val="26"/>
          <w:u w:color="030303"/>
          <w:rtl w:val="0"/>
          <w:lang w:val="en-US"/>
          <w14:textFill>
            <w14:solidFill>
              <w14:srgbClr w14:val="030303"/>
            </w14:solidFill>
          </w14:textFill>
        </w:rPr>
        <w:t>Our Family</w:t>
      </w:r>
    </w:p>
    <w:p>
      <w:pPr>
        <w:pStyle w:val="Body"/>
        <w:spacing w:before="205" w:line="290" w:lineRule="auto"/>
        <w:ind w:left="357" w:firstLine="3"/>
        <w:rPr>
          <w:outline w:val="0"/>
          <w:color w:val="030303"/>
          <w:sz w:val="26"/>
          <w:szCs w:val="26"/>
          <w:u w:color="030303"/>
          <w14:textFill>
            <w14:solidFill>
              <w14:srgbClr w14:val="030303"/>
            </w14:solidFill>
          </w14:textFill>
        </w:rPr>
      </w:pPr>
      <w:r>
        <w:rPr>
          <w:outline w:val="0"/>
          <w:color w:val="030303"/>
          <w:sz w:val="26"/>
          <w:szCs w:val="26"/>
          <w:u w:color="030303"/>
          <w:rtl w:val="0"/>
          <w:lang w:val="en-US"/>
          <w14:textFill>
            <w14:solidFill>
              <w14:srgbClr w14:val="030303"/>
            </w14:solidFill>
          </w14:textFill>
        </w:rPr>
        <w:t xml:space="preserve">We were married on {dateOfMarriage}. We currently have {childrenCount} children. All references in this document to </w:t>
      </w:r>
      <w:r>
        <w:rPr>
          <w:rFonts w:ascii="Arial" w:hAnsi="Arial"/>
          <w:i w:val="1"/>
          <w:iCs w:val="1"/>
          <w:outline w:val="0"/>
          <w:color w:val="030303"/>
          <w:sz w:val="25"/>
          <w:szCs w:val="25"/>
          <w:u w:color="030303"/>
          <w:rtl w:val="0"/>
          <w:lang w:val="en-US"/>
          <w14:textFill>
            <w14:solidFill>
              <w14:srgbClr w14:val="030303"/>
            </w14:solidFill>
          </w14:textFill>
        </w:rPr>
        <w:t xml:space="preserve">our children </w:t>
      </w:r>
      <w:r>
        <w:rPr>
          <w:outline w:val="0"/>
          <w:color w:val="030303"/>
          <w:sz w:val="26"/>
          <w:szCs w:val="26"/>
          <w:u w:color="030303"/>
          <w:rtl w:val="0"/>
          <w:lang w:val="en-US"/>
          <w14:textFill>
            <w14:solidFill>
              <w14:srgbClr w14:val="030303"/>
            </w14:solidFill>
          </w14:textFill>
        </w:rPr>
        <w:t>are references to these and any other children subsequently born to us. In this trust agreement, we have provided for the following individuals:</w:t>
      </w:r>
    </w:p>
    <w:p>
      <w:pPr>
        <w:pStyle w:val="Body"/>
        <w:spacing w:before="205" w:line="290" w:lineRule="auto"/>
        <w:ind w:left="357" w:firstLine="3"/>
      </w:pPr>
    </w:p>
    <w:p>
      <w:pPr>
        <w:pStyle w:val="heading 5"/>
      </w:pPr>
      <w:r>
        <w:rPr>
          <w:rtl w:val="0"/>
        </w:rPr>
        <w:t>Husband Heirs</w:t>
      </w:r>
    </w:p>
    <w:tbl>
      <w:tblPr>
        <w:tblW w:w="11018" w:type="dxa"/>
        <w:jc w:val="left"/>
        <w:tblInd w:w="6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509"/>
        <w:gridCol w:w="5509"/>
      </w:tblGrid>
      <w:tr>
        <w:tblPrEx>
          <w:shd w:val="clear" w:color="auto" w:fill="ced7e7"/>
        </w:tblPrEx>
        <w:trPr>
          <w:trHeight w:val="310" w:hRule="atLeast"/>
        </w:trPr>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Name</w:t>
            </w:r>
          </w:p>
        </w:tc>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Relationship</w:t>
            </w:r>
          </w:p>
        </w:tc>
      </w:tr>
      <w:tr>
        <w:tblPrEx>
          <w:shd w:val="clear" w:color="auto" w:fill="ced7e7"/>
        </w:tblPrEx>
        <w:trPr>
          <w:trHeight w:val="251" w:hRule="atLeast"/>
        </w:trPr>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{#husbandHeirs}{heirName}</w:t>
            </w:r>
          </w:p>
        </w:tc>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{heirRelationship}{/husbandHeirs}</w:t>
            </w:r>
          </w:p>
        </w:tc>
      </w:tr>
    </w:tbl>
    <w:p>
      <w:pPr>
        <w:pStyle w:val="Body"/>
        <w:tabs>
          <w:tab w:val="left" w:pos="5270"/>
        </w:tabs>
        <w:spacing w:before="123"/>
        <w:ind w:left="501" w:hanging="501"/>
      </w:pPr>
    </w:p>
    <w:p>
      <w:pPr>
        <w:pStyle w:val="Body"/>
        <w:spacing w:before="205" w:line="290" w:lineRule="auto"/>
        <w:ind w:left="357" w:firstLine="3"/>
      </w:pPr>
    </w:p>
    <w:p>
      <w:pPr>
        <w:pStyle w:val="heading 5"/>
      </w:pPr>
      <w:r>
        <w:rPr>
          <w:rtl w:val="0"/>
        </w:rPr>
        <w:t>Wife Heirs</w:t>
      </w:r>
    </w:p>
    <w:tbl>
      <w:tblPr>
        <w:tblW w:w="11018" w:type="dxa"/>
        <w:jc w:val="left"/>
        <w:tblInd w:w="6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509"/>
        <w:gridCol w:w="5509"/>
      </w:tblGrid>
      <w:tr>
        <w:tblPrEx>
          <w:shd w:val="clear" w:color="auto" w:fill="ced7e7"/>
        </w:tblPrEx>
        <w:trPr>
          <w:trHeight w:val="310" w:hRule="atLeast"/>
        </w:trPr>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Name</w:t>
            </w:r>
          </w:p>
        </w:tc>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Relationship</w:t>
            </w:r>
          </w:p>
        </w:tc>
      </w:tr>
      <w:tr>
        <w:tblPrEx>
          <w:shd w:val="clear" w:color="auto" w:fill="ced7e7"/>
        </w:tblPrEx>
        <w:trPr>
          <w:trHeight w:val="251" w:hRule="atLeast"/>
        </w:trPr>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{#wifeHeirs}{heirName}</w:t>
            </w:r>
          </w:p>
        </w:tc>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{heirRelationship}{/wifeHeirs}</w:t>
            </w:r>
          </w:p>
        </w:tc>
      </w:tr>
    </w:tbl>
    <w:p>
      <w:pPr>
        <w:pStyle w:val="Body"/>
        <w:tabs>
          <w:tab w:val="left" w:pos="5270"/>
        </w:tabs>
        <w:spacing w:before="123"/>
        <w:ind w:left="501" w:hanging="501"/>
      </w:pPr>
    </w:p>
    <w:p>
      <w:pPr>
        <w:pStyle w:val="Body"/>
      </w:pPr>
      <w:r>
        <mc:AlternateContent>
          <mc:Choice Requires="wps">
            <w:drawing xmlns:a="http://schemas.openxmlformats.org/drawingml/2006/main">
              <wp:anchor distT="0" distB="0" distL="0" distR="0" simplePos="0" relativeHeight="251674624" behindDoc="0" locked="0" layoutInCell="1" allowOverlap="1">
                <wp:simplePos x="0" y="0"/>
                <wp:positionH relativeFrom="margin">
                  <wp:posOffset>-6349</wp:posOffset>
                </wp:positionH>
                <wp:positionV relativeFrom="line">
                  <wp:posOffset>384098</wp:posOffset>
                </wp:positionV>
                <wp:extent cx="6743700" cy="12700"/>
                <wp:effectExtent l="0" t="0" r="0" b="0"/>
                <wp:wrapTopAndBottom distT="0" distB="0"/>
                <wp:docPr id="1073741831"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32" style="visibility:visible;position:absolute;margin-left:-0.5pt;margin-top:30.2pt;width:531.0pt;height:1.0pt;z-index:251674624;mso-position-horizontal:absolute;mso-position-horizontal-relative:margin;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margin"/>
              </v:rect>
            </w:pict>
          </mc:Fallback>
        </mc:AlternateContent>
      </w:r>
    </w:p>
    <w:p>
      <w:pPr>
        <w:pStyle w:val="Body"/>
        <w:ind w:firstLine="363"/>
      </w:pPr>
    </w:p>
    <w:p>
      <w:pPr>
        <w:pStyle w:val="heading 6"/>
        <w:ind w:firstLine="363"/>
      </w:pPr>
      <w:r>
        <w:rPr>
          <w:outline w:val="0"/>
          <w:color w:val="030303"/>
          <w:u w:color="030303"/>
          <w:rtl w:val="0"/>
          <w:lang w:val="en-US"/>
          <w14:textFill>
            <w14:solidFill>
              <w14:srgbClr w14:val="030303"/>
            </w14:solidFill>
          </w14:textFill>
        </w:rPr>
        <w:t>ARTICLE SEVEN</w:t>
      </w:r>
    </w:p>
    <w:p>
      <w:pPr>
        <w:pStyle w:val="Body"/>
        <w:ind w:left="356"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Trustee Succession, Appointment, and Removal</w:t>
      </w:r>
    </w:p>
    <w:p>
      <w:pPr>
        <w:pStyle w:val="Body"/>
        <w:numPr>
          <w:ilvl w:val="0"/>
          <w:numId w:val="3"/>
        </w:numPr>
        <w:bidi w:val="0"/>
        <w:spacing w:before="230" w:line="324" w:lineRule="auto"/>
        <w:ind w:right="822"/>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Trustees During Lifetime: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During the joint lifetimes of the Grantors, the Grantors shall serve as Co-Trustees of this Trust</w:t>
      </w:r>
      <w:r>
        <w:rPr>
          <w:caps w:val="0"/>
          <w:smallCaps w:val="0"/>
          <w:strike w:val="0"/>
          <w:dstrike w:val="0"/>
          <w:outline w:val="0"/>
          <w:color w:val="363636"/>
          <w:sz w:val="26"/>
          <w:szCs w:val="26"/>
          <w:u w:val="none" w:color="363636"/>
          <w:shd w:val="nil" w:color="auto" w:fill="auto"/>
          <w:vertAlign w:val="baseline"/>
          <w:rtl w:val="0"/>
          <w14:textFill>
            <w14:solidFill>
              <w14:srgbClr w14:val="363636"/>
            </w14:solidFill>
          </w14:textFill>
        </w:rPr>
        <w:t xml:space="preserve">.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Each Grantor shall retain authority over:</w:t>
      </w:r>
    </w:p>
    <w:p>
      <w:pPr>
        <w:pStyle w:val="Body"/>
        <w:numPr>
          <w:ilvl w:val="1"/>
          <w:numId w:val="3"/>
        </w:numPr>
        <w:bidi w:val="0"/>
        <w:spacing w:before="48"/>
        <w:ind w:right="0"/>
        <w:jc w:val="left"/>
        <w:rPr>
          <w:outline w:val="0"/>
          <w:color w:val="030303"/>
          <w:sz w:val="26"/>
          <w:szCs w:val="26"/>
          <w:rtl w:val="0"/>
          <w:lang w:val="en-US"/>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That Grantor's separate property; and</w:t>
      </w:r>
    </w:p>
    <w:p>
      <w:pPr>
        <w:pStyle w:val="Body"/>
        <w:numPr>
          <w:ilvl w:val="1"/>
          <w:numId w:val="3"/>
        </w:numPr>
        <w:bidi w:val="0"/>
        <w:spacing w:before="153"/>
        <w:ind w:right="0"/>
        <w:jc w:val="left"/>
        <w:rPr>
          <w:outline w:val="0"/>
          <w:color w:val="030303"/>
          <w:sz w:val="26"/>
          <w:szCs w:val="26"/>
          <w:rtl w:val="0"/>
          <w:lang w:val="en-US"/>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That portion of community property allocated to that Grantor under Article Three.</w:t>
      </w:r>
    </w:p>
    <w:p>
      <w:pPr>
        <w:pStyle w:val="Body"/>
        <w:spacing w:before="162" w:line="316" w:lineRule="auto"/>
        <w:ind w:left="963" w:hanging="5"/>
        <w:rPr>
          <w:sz w:val="26"/>
          <w:szCs w:val="26"/>
        </w:rPr>
      </w:pPr>
      <w:r>
        <w:rPr>
          <w:outline w:val="0"/>
          <w:color w:val="030303"/>
          <w:sz w:val="26"/>
          <w:szCs w:val="26"/>
          <w:u w:color="030303"/>
          <w:rtl w:val="0"/>
          <w:lang w:val="en-US"/>
          <w14:textFill>
            <w14:solidFill>
              <w14:srgbClr w14:val="030303"/>
            </w14:solidFill>
          </w14:textFill>
        </w:rPr>
        <w:t>The Co-Trustees shall act jointly with respect to community property except as otherwise directed by the applicable Grantor under Article Three.</w:t>
      </w:r>
    </w:p>
    <w:p>
      <w:pPr>
        <w:pStyle w:val="Body"/>
        <w:numPr>
          <w:ilvl w:val="0"/>
          <w:numId w:val="9"/>
        </w:numPr>
        <w:bidi w:val="0"/>
        <w:spacing w:before="78" w:line="312" w:lineRule="auto"/>
        <w:ind w:right="805"/>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Successor Trustees of Husband: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With respect to the trust property of {husbandFullName}, if no Grantor is serving as Trustee due to death, incapacity, resignation, or removal, the following individuals shall serve as successor Trustee in the order listed:</w:t>
      </w:r>
    </w:p>
    <w:p>
      <w:pPr>
        <w:pStyle w:val="Body"/>
        <w:tabs>
          <w:tab w:val="left" w:pos="1564"/>
        </w:tabs>
        <w:spacing w:before="142"/>
        <w:rPr>
          <w:outline w:val="0"/>
          <w:color w:val="030303"/>
          <w:sz w:val="27"/>
          <w:szCs w:val="27"/>
          <w:u w:color="030303"/>
          <w14:textFill>
            <w14:solidFill>
              <w14:srgbClr w14:val="030303"/>
            </w14:solidFill>
          </w14:textFill>
        </w:rPr>
      </w:pPr>
      <w:r>
        <w:rPr>
          <w:outline w:val="0"/>
          <w:color w:val="030303"/>
          <w:sz w:val="27"/>
          <w:szCs w:val="27"/>
          <w:u w:color="030303"/>
          <w:rtl w:val="0"/>
          <w14:textFill>
            <w14:solidFill>
              <w14:srgbClr w14:val="030303"/>
            </w14:solidFill>
          </w14:textFill>
        </w:rPr>
        <w:t>{#husbandTrustees}</w:t>
      </w:r>
    </w:p>
    <w:p>
      <w:pPr>
        <w:pStyle w:val="Body"/>
        <w:numPr>
          <w:ilvl w:val="1"/>
          <w:numId w:val="36"/>
        </w:numPr>
        <w:spacing w:before="142"/>
        <w:rPr>
          <w:sz w:val="27"/>
          <w:szCs w:val="27"/>
          <w:lang w:val="en-US"/>
        </w:rPr>
      </w:pPr>
      <w:r>
        <w:rPr>
          <w:outline w:val="0"/>
          <w:color w:val="030303"/>
          <w:sz w:val="27"/>
          <w:szCs w:val="27"/>
          <w:u w:color="030303"/>
          <w:rtl w:val="0"/>
          <w:lang w:val="en-US"/>
          <w14:textFill>
            <w14:solidFill>
              <w14:srgbClr w14:val="030303"/>
            </w14:solidFill>
          </w14:textFill>
        </w:rPr>
        <w:t>{.}</w:t>
        <w:tab/>
      </w:r>
    </w:p>
    <w:p>
      <w:pPr>
        <w:pStyle w:val="Body"/>
        <w:tabs>
          <w:tab w:val="left" w:pos="1564"/>
        </w:tabs>
        <w:spacing w:before="142"/>
        <w:rPr>
          <w:outline w:val="0"/>
          <w:color w:val="030303"/>
          <w:sz w:val="27"/>
          <w:szCs w:val="27"/>
          <w:u w:color="030303"/>
          <w14:textFill>
            <w14:solidFill>
              <w14:srgbClr w14:val="030303"/>
            </w14:solidFill>
          </w14:textFill>
        </w:rPr>
      </w:pPr>
      <w:r>
        <w:rPr>
          <w:outline w:val="0"/>
          <w:color w:val="030303"/>
          <w:sz w:val="27"/>
          <w:szCs w:val="27"/>
          <w:u w:color="030303"/>
          <w:rtl w:val="0"/>
          <w14:textFill>
            <w14:solidFill>
              <w14:srgbClr w14:val="030303"/>
            </w14:solidFill>
          </w14:textFill>
        </w:rPr>
        <w:t>{/husbandTrustees}</w:t>
      </w:r>
    </w:p>
    <w:p>
      <w:pPr>
        <w:pStyle w:val="Body"/>
        <w:numPr>
          <w:ilvl w:val="0"/>
          <w:numId w:val="9"/>
        </w:numPr>
        <w:bidi w:val="0"/>
        <w:spacing w:before="78" w:line="312" w:lineRule="auto"/>
        <w:ind w:right="805"/>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Successor Trustees of Wife: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With respect to the trust property of {wifeFullName}, if no Grantor is serving as Trustee due to death, incapacity, resignation, or removal, the following individuals shall serve as successor Trustee in the order listed:</w:t>
      </w:r>
    </w:p>
    <w:p>
      <w:pPr>
        <w:pStyle w:val="Body"/>
        <w:tabs>
          <w:tab w:val="left" w:pos="1564"/>
        </w:tabs>
        <w:spacing w:before="142"/>
        <w:rPr>
          <w:outline w:val="0"/>
          <w:color w:val="030303"/>
          <w:sz w:val="27"/>
          <w:szCs w:val="27"/>
          <w:u w:color="030303"/>
          <w14:textFill>
            <w14:solidFill>
              <w14:srgbClr w14:val="030303"/>
            </w14:solidFill>
          </w14:textFill>
        </w:rPr>
      </w:pPr>
      <w:r>
        <w:rPr>
          <w:outline w:val="0"/>
          <w:color w:val="030303"/>
          <w:sz w:val="27"/>
          <w:szCs w:val="27"/>
          <w:u w:color="030303"/>
          <w:rtl w:val="0"/>
          <w14:textFill>
            <w14:solidFill>
              <w14:srgbClr w14:val="030303"/>
            </w14:solidFill>
          </w14:textFill>
        </w:rPr>
        <w:t>{#wifeTrustees}</w:t>
      </w:r>
    </w:p>
    <w:p>
      <w:pPr>
        <w:pStyle w:val="Body"/>
        <w:numPr>
          <w:ilvl w:val="1"/>
          <w:numId w:val="36"/>
        </w:numPr>
        <w:spacing w:before="142"/>
        <w:rPr>
          <w:sz w:val="27"/>
          <w:szCs w:val="27"/>
          <w:lang w:val="en-US"/>
        </w:rPr>
      </w:pPr>
      <w:r>
        <w:rPr>
          <w:outline w:val="0"/>
          <w:color w:val="030303"/>
          <w:sz w:val="27"/>
          <w:szCs w:val="27"/>
          <w:u w:color="030303"/>
          <w:rtl w:val="0"/>
          <w:lang w:val="en-US"/>
          <w14:textFill>
            <w14:solidFill>
              <w14:srgbClr w14:val="030303"/>
            </w14:solidFill>
          </w14:textFill>
        </w:rPr>
        <w:t>{.}</w:t>
        <w:tab/>
      </w:r>
    </w:p>
    <w:p>
      <w:pPr>
        <w:pStyle w:val="Body"/>
        <w:tabs>
          <w:tab w:val="left" w:pos="1564"/>
        </w:tabs>
        <w:spacing w:before="142"/>
        <w:rPr>
          <w:outline w:val="0"/>
          <w:color w:val="030303"/>
          <w:sz w:val="27"/>
          <w:szCs w:val="27"/>
          <w:u w:color="030303"/>
          <w14:textFill>
            <w14:solidFill>
              <w14:srgbClr w14:val="030303"/>
            </w14:solidFill>
          </w14:textFill>
        </w:rPr>
      </w:pPr>
      <w:r>
        <w:rPr>
          <w:outline w:val="0"/>
          <w:color w:val="030303"/>
          <w:sz w:val="27"/>
          <w:szCs w:val="27"/>
          <w:u w:color="030303"/>
          <w:rtl w:val="0"/>
          <w14:textFill>
            <w14:solidFill>
              <w14:srgbClr w14:val="030303"/>
            </w14:solidFill>
          </w14:textFill>
        </w:rPr>
        <w:t>{/wifeTrustees}</w:t>
      </w:r>
    </w:p>
    <w:p>
      <w:pPr>
        <w:pStyle w:val="Body"/>
        <w:spacing w:before="155" w:line="304" w:lineRule="auto"/>
        <w:ind w:left="963" w:right="497" w:hanging="2"/>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Only one successor Trustee shall serve at a time with respect to each Grantor's trust property, and each successor shall serve individually.</w:t>
      </w:r>
    </w:p>
    <w:p>
      <w:pPr>
        <w:pStyle w:val="Body"/>
        <w:numPr>
          <w:ilvl w:val="0"/>
          <w:numId w:val="37"/>
        </w:numPr>
        <w:bidi w:val="0"/>
        <w:spacing w:before="58"/>
        <w:ind w:right="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Resignation: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Trustee may resign by written notice delivered to:</w:t>
      </w:r>
    </w:p>
    <w:p>
      <w:pPr>
        <w:pStyle w:val="Body"/>
        <w:numPr>
          <w:ilvl w:val="1"/>
          <w:numId w:val="37"/>
        </w:numPr>
        <w:bidi w:val="0"/>
        <w:spacing w:before="155"/>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Grantors, if living;</w:t>
      </w:r>
    </w:p>
    <w:p>
      <w:pPr>
        <w:pStyle w:val="Body"/>
        <w:numPr>
          <w:ilvl w:val="1"/>
          <w:numId w:val="37"/>
        </w:numPr>
        <w:bidi w:val="0"/>
        <w:spacing w:before="137"/>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then-serving Co-Trustee; or</w:t>
      </w:r>
    </w:p>
    <w:p>
      <w:pPr>
        <w:pStyle w:val="Body"/>
        <w:numPr>
          <w:ilvl w:val="1"/>
          <w:numId w:val="37"/>
        </w:numPr>
        <w:bidi w:val="0"/>
        <w:spacing w:before="155"/>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majority of adult Income Beneficiaries, if no Grantor is living.</w:t>
      </w:r>
    </w:p>
    <w:p>
      <w:pPr>
        <w:pStyle w:val="Body"/>
        <w:spacing w:before="142" w:line="300" w:lineRule="auto"/>
        <w:ind w:left="958" w:firstLine="7"/>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Resignation shall become effective upon acceptance by a successor Trustee or on the date specified in the notice.</w:t>
      </w:r>
    </w:p>
    <w:p>
      <w:pPr>
        <w:pStyle w:val="Body"/>
        <w:numPr>
          <w:ilvl w:val="0"/>
          <w:numId w:val="21"/>
        </w:numPr>
        <w:bidi w:val="0"/>
        <w:spacing w:before="79" w:line="306" w:lineRule="auto"/>
        <w:ind w:right="556"/>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Removal of Trustee: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During their joint lifetimes, the Grantors may remove any Trustee at any time, with or without cause. After the death of one Grantor, the surviving Grantor (if serving) may remove any Trustee. After the death of both Grantors, a majority of the adult Income Beneficiaries of the relevant trust may remove a Trustee and appoint a successor. Any removal shall be effective only upon the written appointment and acceptance of a successor Trustee. No successor Trustee appointed by beneficiaries shall be related or subordinate to any removing beneficiary within the meaning of lnternal Revenue Code Section 672(c). A minor or incapacitated beneficiary's parent or legal representative may act on that beneficiary's behalf.</w:t>
      </w:r>
    </w:p>
    <w:p>
      <w:pPr>
        <w:pStyle w:val="Body"/>
        <w:numPr>
          <w:ilvl w:val="0"/>
          <w:numId w:val="18"/>
        </w:numPr>
        <w:bidi w:val="0"/>
        <w:spacing w:before="56"/>
        <w:ind w:right="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Vacancy: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vacancy exists and no designated successor is willing or able to serve:</w:t>
      </w:r>
    </w:p>
    <w:p>
      <w:pPr>
        <w:pStyle w:val="Body"/>
        <w:numPr>
          <w:ilvl w:val="1"/>
          <w:numId w:val="18"/>
        </w:numPr>
        <w:bidi w:val="0"/>
        <w:spacing w:before="142"/>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During the lifetime of a Grantor, the acting Grantor may appoint a successor Trustee.</w:t>
      </w:r>
    </w:p>
    <w:p>
      <w:pPr>
        <w:pStyle w:val="Body"/>
        <w:numPr>
          <w:ilvl w:val="1"/>
          <w:numId w:val="38"/>
        </w:numPr>
        <w:bidi w:val="0"/>
        <w:spacing w:before="141" w:line="312" w:lineRule="auto"/>
        <w:ind w:right="481"/>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After both Grantors' deaths, a majority of adult beneficiaries may appoint a successor Trustee</w:t>
      </w:r>
      <w:r>
        <w:rPr>
          <w:caps w:val="0"/>
          <w:smallCaps w:val="0"/>
          <w:strike w:val="0"/>
          <w:dstrike w:val="0"/>
          <w:outline w:val="0"/>
          <w:color w:val="363636"/>
          <w:sz w:val="27"/>
          <w:szCs w:val="27"/>
          <w:u w:val="none" w:color="363636"/>
          <w:shd w:val="nil" w:color="auto" w:fill="auto"/>
          <w:vertAlign w:val="baseline"/>
          <w:rtl w:val="0"/>
          <w14:textFill>
            <w14:solidFill>
              <w14:srgbClr w14:val="363636"/>
            </w14:solidFill>
          </w14:textFill>
        </w:rPr>
        <w:t>.</w:t>
      </w:r>
    </w:p>
    <w:p>
      <w:pPr>
        <w:pStyle w:val="Body"/>
        <w:numPr>
          <w:ilvl w:val="0"/>
          <w:numId w:val="39"/>
        </w:numPr>
        <w:bidi w:val="0"/>
        <w:spacing w:before="111" w:line="306" w:lineRule="auto"/>
        <w:ind w:right="676"/>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Rights and Powers of Successor Trustees: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Each successor Trustee shall have all rights, powers, privileges, and duties granted to the initial Trustees under this Trust Agreement.</w:t>
      </w:r>
    </w:p>
    <w:p>
      <w:pPr>
        <w:pStyle w:val="Body"/>
        <w:tabs>
          <w:tab w:val="left" w:pos="961"/>
          <w:tab w:val="left" w:pos="967"/>
        </w:tabs>
        <w:spacing w:before="111" w:line="306" w:lineRule="auto"/>
        <w:ind w:left="958" w:right="676" w:firstLine="0"/>
        <w:rPr>
          <w:outline w:val="0"/>
          <w:color w:val="030303"/>
          <w:sz w:val="27"/>
          <w:szCs w:val="27"/>
          <w:u w:color="030303"/>
          <w14:textFill>
            <w14:solidFill>
              <w14:srgbClr w14:val="030303"/>
            </w14:solidFill>
          </w14:textFill>
        </w:rPr>
      </w:pPr>
    </w:p>
    <w:p>
      <w:pPr>
        <w:pStyle w:val="Body"/>
        <w:tabs>
          <w:tab w:val="left" w:pos="961"/>
          <w:tab w:val="left" w:pos="967"/>
        </w:tabs>
        <w:spacing w:before="111" w:line="306" w:lineRule="auto"/>
        <w:ind w:right="676"/>
        <w:rPr>
          <w:outline w:val="0"/>
          <w:color w:val="030303"/>
          <w:sz w:val="27"/>
          <w:szCs w:val="27"/>
          <w:u w:color="030303"/>
          <w14:textFill>
            <w14:solidFill>
              <w14:srgbClr w14:val="030303"/>
            </w14:solidFill>
          </w14:textFill>
        </w:rPr>
      </w:pPr>
      <w:r>
        <mc:AlternateContent>
          <mc:Choice Requires="wps">
            <w:drawing xmlns:a="http://schemas.openxmlformats.org/drawingml/2006/main">
              <wp:anchor distT="0" distB="0" distL="0" distR="0" simplePos="0" relativeHeight="251664384" behindDoc="0" locked="0" layoutInCell="1" allowOverlap="1">
                <wp:simplePos x="0" y="0"/>
                <wp:positionH relativeFrom="column">
                  <wp:posOffset>0</wp:posOffset>
                </wp:positionH>
                <wp:positionV relativeFrom="line">
                  <wp:posOffset>54800</wp:posOffset>
                </wp:positionV>
                <wp:extent cx="6743700" cy="12700"/>
                <wp:effectExtent l="0" t="0" r="0" b="0"/>
                <wp:wrapTopAndBottom distT="0" distB="0"/>
                <wp:docPr id="1073741832"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33" style="visibility:visible;position:absolute;margin-left:0.0pt;margin-top:4.3pt;width:531.0pt;height:1.0pt;z-index:251664384;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heading 6"/>
        <w:ind w:firstLine="363"/>
      </w:pPr>
      <w:r>
        <w:rPr>
          <w:outline w:val="0"/>
          <w:color w:val="030303"/>
          <w:u w:color="030303"/>
          <w:rtl w:val="0"/>
          <w:lang w:val="en-US"/>
          <w14:textFill>
            <w14:solidFill>
              <w14:srgbClr w14:val="030303"/>
            </w14:solidFill>
          </w14:textFill>
        </w:rPr>
        <w:t>ARTICLE EIGHT</w:t>
      </w:r>
    </w:p>
    <w:p>
      <w:pPr>
        <w:pStyle w:val="Body"/>
        <w:spacing w:before="1"/>
        <w:ind w:left="363"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Administration During a Grantor's Incapacity</w:t>
      </w:r>
    </w:p>
    <w:p>
      <w:pPr>
        <w:pStyle w:val="Body"/>
        <w:numPr>
          <w:ilvl w:val="0"/>
          <w:numId w:val="9"/>
        </w:numPr>
        <w:bidi w:val="0"/>
        <w:spacing w:before="220" w:line="306" w:lineRule="auto"/>
        <w:ind w:right="836"/>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Definition of a Grantor's Incapacity: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Grantor shall be deemed incapacitated if the Grantor is unable to manage his or her financial, property, or business affairs effectively due to illness, injury, advanced age, or other cause.</w:t>
      </w:r>
    </w:p>
    <w:p>
      <w:pPr>
        <w:pStyle w:val="Body"/>
        <w:numPr>
          <w:ilvl w:val="0"/>
          <w:numId w:val="18"/>
        </w:numPr>
        <w:bidi w:val="0"/>
        <w:spacing w:before="62" w:line="300" w:lineRule="auto"/>
        <w:ind w:right="534"/>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Determination of Incapacity: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determination of incapacity may be established by any of the following:</w:t>
      </w:r>
    </w:p>
    <w:p>
      <w:pPr>
        <w:pStyle w:val="Body"/>
        <w:numPr>
          <w:ilvl w:val="1"/>
          <w:numId w:val="40"/>
        </w:numPr>
        <w:bidi w:val="0"/>
        <w:spacing w:before="79" w:line="297" w:lineRule="auto"/>
        <w:ind w:right="1066"/>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written certification by one licensed physician who has examined the Grantor within a reasonable time;</w:t>
      </w:r>
    </w:p>
    <w:p>
      <w:pPr>
        <w:pStyle w:val="Body"/>
        <w:numPr>
          <w:ilvl w:val="1"/>
          <w:numId w:val="41"/>
        </w:numPr>
        <w:bidi w:val="0"/>
        <w:spacing w:before="8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written determination by a court of competent jurisdiction; or</w:t>
      </w:r>
    </w:p>
    <w:p>
      <w:pPr>
        <w:pStyle w:val="Body"/>
        <w:numPr>
          <w:ilvl w:val="1"/>
          <w:numId w:val="42"/>
        </w:numPr>
        <w:bidi w:val="0"/>
        <w:spacing w:before="141" w:line="300" w:lineRule="auto"/>
        <w:ind w:right="427"/>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If one Grantor is not incapacitated, the written determination of that Grantor together with the written certification of one licensed physician.</w:t>
      </w:r>
    </w:p>
    <w:p>
      <w:pPr>
        <w:pStyle w:val="Body"/>
        <w:spacing w:before="79" w:line="300" w:lineRule="auto"/>
        <w:ind w:left="963" w:right="362" w:hanging="5"/>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may rely conclusively on any such written determination without further inquiry.</w:t>
      </w:r>
    </w:p>
    <w:p>
      <w:pPr>
        <w:pStyle w:val="Body"/>
        <w:numPr>
          <w:ilvl w:val="0"/>
          <w:numId w:val="43"/>
        </w:numPr>
        <w:bidi w:val="0"/>
        <w:spacing w:before="80" w:line="300" w:lineRule="auto"/>
        <w:ind w:right="806"/>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Restoration of Capacity: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Grantor shall be deemed restored to capacity upon written certification by a licensed physician stating that the Grantor is able to manage his or her financial affairs.</w:t>
      </w:r>
    </w:p>
    <w:p>
      <w:pPr>
        <w:pStyle w:val="Body"/>
        <w:numPr>
          <w:ilvl w:val="0"/>
          <w:numId w:val="44"/>
        </w:numPr>
        <w:bidi w:val="0"/>
        <w:spacing w:before="80" w:line="304" w:lineRule="auto"/>
        <w:ind w:right="52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Temporary Incapacity Due to Absence: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Grantor shall also be deemed incapacitated if the Grantor is missing, detained, or otherwise unable to communicate for a period exceeding thirty (30) days under circumstances reasonably indicating inability to manage financial affairs. Such incapacity may be established by an affidavit of the acting Trustee describing the circumstances. A third party acting in good faith may rely upon such affidavit. Capacity shall be deemed restored upon written notice from the Grantor demonstrating the ability to resume management of financial affairs.</w:t>
      </w:r>
    </w:p>
    <w:p>
      <w:pPr>
        <w:pStyle w:val="Body"/>
        <w:numPr>
          <w:ilvl w:val="0"/>
          <w:numId w:val="12"/>
        </w:numPr>
        <w:bidi w:val="0"/>
        <w:spacing w:before="80" w:line="306" w:lineRule="auto"/>
        <w:ind w:right="96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Trustee Authority During Incapacity: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During a Grantor's incapacity, the Trustee may administer and distribute that Grantor's separate property and allocated share of community property for:</w:t>
      </w:r>
    </w:p>
    <w:p>
      <w:pPr>
        <w:pStyle w:val="Body"/>
        <w:numPr>
          <w:ilvl w:val="1"/>
          <w:numId w:val="12"/>
        </w:numPr>
        <w:bidi w:val="0"/>
        <w:spacing w:before="53"/>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Grantor's health, support, and reasonable comfort;</w:t>
      </w:r>
    </w:p>
    <w:p>
      <w:pPr>
        <w:pStyle w:val="Body"/>
        <w:numPr>
          <w:ilvl w:val="1"/>
          <w:numId w:val="12"/>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Grantor's best interests and welfare; and</w:t>
      </w:r>
    </w:p>
    <w:p>
      <w:pPr>
        <w:pStyle w:val="Body"/>
        <w:numPr>
          <w:ilvl w:val="1"/>
          <w:numId w:val="12"/>
        </w:numPr>
        <w:bidi w:val="0"/>
        <w:spacing w:before="15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support of any person dependent upon the Grantor.</w:t>
      </w:r>
    </w:p>
    <w:p>
      <w:pPr>
        <w:pStyle w:val="Body"/>
        <w:spacing w:before="141" w:line="306" w:lineRule="auto"/>
        <w:ind w:left="962" w:right="362" w:hanging="4"/>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shall act in good faith and in a manner consistent with the incapacitated Grantor's best interests and customary standard of living. The Trustee may make distributions directly to</w:t>
      </w:r>
      <w:r>
        <w:rPr>
          <w:caps w:val="0"/>
          <w:smallCaps w:val="0"/>
          <w:strike w:val="0"/>
          <w:dstrike w:val="0"/>
          <w:outline w:val="0"/>
          <w:color w:val="2f2f2f"/>
          <w:sz w:val="27"/>
          <w:szCs w:val="27"/>
          <w:u w:val="none" w:color="2f2f2f"/>
          <w:shd w:val="nil" w:color="auto" w:fill="auto"/>
          <w:vertAlign w:val="baseline"/>
          <w:rtl w:val="0"/>
          <w14:textFill>
            <w14:solidFill>
              <w14:srgbClr w14:val="2F2F2F"/>
            </w14:solidFill>
          </w14:textFill>
        </w:rPr>
        <w:t>:</w:t>
      </w:r>
    </w:p>
    <w:p>
      <w:pPr>
        <w:pStyle w:val="Body"/>
        <w:numPr>
          <w:ilvl w:val="1"/>
          <w:numId w:val="12"/>
        </w:numPr>
        <w:bidi w:val="0"/>
        <w:spacing w:before="52"/>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incapacitated Grantor;</w:t>
      </w:r>
    </w:p>
    <w:p>
      <w:pPr>
        <w:pStyle w:val="Body"/>
        <w:numPr>
          <w:ilvl w:val="1"/>
          <w:numId w:val="45"/>
        </w:numPr>
        <w:bidi w:val="0"/>
        <w:spacing w:before="15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 agent acting under a valid durable power of attorney;</w:t>
      </w:r>
    </w:p>
    <w:p>
      <w:pPr>
        <w:pStyle w:val="Body"/>
        <w:numPr>
          <w:ilvl w:val="1"/>
          <w:numId w:val="45"/>
        </w:numPr>
        <w:bidi w:val="0"/>
        <w:spacing w:before="13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court-appointed guardian or conservator; or</w:t>
      </w:r>
    </w:p>
    <w:p>
      <w:pPr>
        <w:pStyle w:val="Body"/>
        <w:numPr>
          <w:ilvl w:val="1"/>
          <w:numId w:val="45"/>
        </w:numPr>
        <w:bidi w:val="0"/>
        <w:spacing w:before="15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Any person or entity providing goods or services for the Grantor's benefit.</w:t>
      </w:r>
    </w:p>
    <w:p>
      <w:pPr>
        <w:pStyle w:val="Body"/>
        <w:spacing w:before="141" w:line="300" w:lineRule="auto"/>
        <w:ind w:left="963" w:right="497" w:hanging="5"/>
        <w:rPr>
          <w:caps w:val="0"/>
          <w:smallCaps w:val="0"/>
          <w:strike w:val="0"/>
          <w:dstrike w:val="0"/>
          <w:outline w:val="0"/>
          <w:color w:val="030303"/>
          <w:sz w:val="27"/>
          <w:szCs w:val="27"/>
          <w:u w:val="none" w:color="030303"/>
          <w:shd w:val="nil" w:color="auto" w:fill="auto"/>
          <w:vertAlign w:val="baseline"/>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Trustee's determination of appropriate distributions during incapacity shall be made in good faith and shall be conclusive absent abuse of discretion.</w:t>
      </w:r>
    </w:p>
    <w:p>
      <w:pPr>
        <w:pStyle w:val="Body"/>
        <w:spacing w:before="141" w:line="300" w:lineRule="auto"/>
        <w:ind w:left="963" w:right="497" w:hanging="5"/>
        <w:rPr>
          <w:outline w:val="0"/>
          <w:color w:val="030303"/>
          <w:sz w:val="27"/>
          <w:szCs w:val="27"/>
          <w:u w:color="030303"/>
          <w14:textFill>
            <w14:solidFill>
              <w14:srgbClr w14:val="030303"/>
            </w14:solidFill>
          </w14:textFill>
        </w:rPr>
      </w:pPr>
    </w:p>
    <w:p>
      <w:pPr>
        <w:pStyle w:val="Body"/>
        <w:spacing w:before="141" w:line="300" w:lineRule="auto"/>
        <w:ind w:right="497"/>
        <w:rPr>
          <w:outline w:val="0"/>
          <w:color w:val="030303"/>
          <w:sz w:val="27"/>
          <w:szCs w:val="27"/>
          <w:u w:color="030303"/>
          <w14:textFill>
            <w14:solidFill>
              <w14:srgbClr w14:val="030303"/>
            </w14:solidFill>
          </w14:textFill>
        </w:rPr>
      </w:pPr>
      <w:r>
        <mc:AlternateContent>
          <mc:Choice Requires="wps">
            <w:drawing xmlns:a="http://schemas.openxmlformats.org/drawingml/2006/main">
              <wp:anchor distT="0" distB="0" distL="0" distR="0" simplePos="0" relativeHeight="251665408" behindDoc="0" locked="0" layoutInCell="1" allowOverlap="1">
                <wp:simplePos x="0" y="0"/>
                <wp:positionH relativeFrom="column">
                  <wp:posOffset>0</wp:posOffset>
                </wp:positionH>
                <wp:positionV relativeFrom="line">
                  <wp:posOffset>70040</wp:posOffset>
                </wp:positionV>
                <wp:extent cx="6743700" cy="12700"/>
                <wp:effectExtent l="0" t="0" r="0" b="0"/>
                <wp:wrapTopAndBottom distT="0" distB="0"/>
                <wp:docPr id="1073741833"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34" style="visibility:visible;position:absolute;margin-left:0.0pt;margin-top:5.5pt;width:531.0pt;height:1.0pt;z-index:251665408;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heading 6"/>
        <w:spacing w:before="62"/>
        <w:ind w:firstLine="363"/>
      </w:pPr>
      <w:r>
        <w:rPr>
          <w:outline w:val="0"/>
          <w:color w:val="030303"/>
          <w:u w:color="030303"/>
          <w:rtl w:val="0"/>
          <w:lang w:val="en-US"/>
          <w14:textFill>
            <w14:solidFill>
              <w14:srgbClr w14:val="030303"/>
            </w14:solidFill>
          </w14:textFill>
        </w:rPr>
        <w:t>ARTICLE NINE</w:t>
      </w:r>
    </w:p>
    <w:p>
      <w:pPr>
        <w:pStyle w:val="Body"/>
        <w:ind w:left="363"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Administration of Our Trust Upon the Death of a Grantor</w:t>
      </w:r>
    </w:p>
    <w:p>
      <w:pPr>
        <w:pStyle w:val="Body"/>
        <w:numPr>
          <w:ilvl w:val="0"/>
          <w:numId w:val="46"/>
        </w:numPr>
        <w:bidi w:val="0"/>
        <w:spacing w:before="220" w:line="306" w:lineRule="auto"/>
        <w:ind w:right="398"/>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Division of Trust Property: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Upon the death of the first Grantor to die, the Trustee shall prepare an informal inventory of all trust property. The surviving Grantor's separate property and allocated share of community property shall constitute the Survivor's Trust, which shall continue to be administered for the surviving Grantor's benefit. The deceased Grantor's separate property and allocated share of community property shall constitute the Deceased Grantor's Trust Property, which shall be administered as provided below. The Trustee may divide community property on a pro-rata or non-pro-rata basis, in cash or in kind, and based on aggregate value rather than asset-by-asset allocation.</w:t>
      </w:r>
    </w:p>
    <w:p>
      <w:pPr>
        <w:pStyle w:val="Body"/>
        <w:numPr>
          <w:ilvl w:val="0"/>
          <w:numId w:val="10"/>
        </w:numPr>
        <w:bidi w:val="0"/>
        <w:spacing w:before="51" w:line="300" w:lineRule="auto"/>
        <w:ind w:right="698"/>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Administrative Trust Period: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Deceased Grantor's Trust Property shall be held as an administrative trust for the period reasonably necessary to:</w:t>
      </w:r>
    </w:p>
    <w:p>
      <w:pPr>
        <w:pStyle w:val="Body"/>
        <w:numPr>
          <w:ilvl w:val="1"/>
          <w:numId w:val="10"/>
        </w:numPr>
        <w:bidi w:val="0"/>
        <w:spacing w:before="79"/>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Identify heirs and beneficiaries;</w:t>
      </w:r>
    </w:p>
    <w:p>
      <w:pPr>
        <w:pStyle w:val="Body"/>
        <w:numPr>
          <w:ilvl w:val="1"/>
          <w:numId w:val="47"/>
        </w:numPr>
        <w:bidi w:val="0"/>
        <w:spacing w:before="13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Pay lawful debts and expenses;</w:t>
      </w:r>
    </w:p>
    <w:p>
      <w:pPr>
        <w:pStyle w:val="Body"/>
        <w:numPr>
          <w:ilvl w:val="1"/>
          <w:numId w:val="10"/>
        </w:numPr>
        <w:bidi w:val="0"/>
        <w:spacing w:before="16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Satisfy taxes; and</w:t>
      </w:r>
    </w:p>
    <w:p>
      <w:pPr>
        <w:pStyle w:val="Body"/>
        <w:numPr>
          <w:ilvl w:val="1"/>
          <w:numId w:val="48"/>
        </w:numPr>
        <w:bidi w:val="0"/>
        <w:spacing w:before="13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Complete required accounting.</w:t>
      </w:r>
    </w:p>
    <w:p>
      <w:pPr>
        <w:pStyle w:val="Body"/>
        <w:spacing w:before="156"/>
        <w:ind w:left="958"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Deceased Grantor's Trust Property shall become irrevocable upon death.</w:t>
      </w:r>
    </w:p>
    <w:p>
      <w:pPr>
        <w:pStyle w:val="Body"/>
        <w:numPr>
          <w:ilvl w:val="0"/>
          <w:numId w:val="11"/>
        </w:numPr>
        <w:bidi w:val="0"/>
        <w:spacing w:before="141" w:line="300" w:lineRule="auto"/>
        <w:ind w:right="45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Payment of Debts and Expenses: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may pay from the Deceased Grantor's Trust Property:</w:t>
      </w:r>
    </w:p>
    <w:p>
      <w:pPr>
        <w:pStyle w:val="Body"/>
        <w:numPr>
          <w:ilvl w:val="1"/>
          <w:numId w:val="11"/>
        </w:numPr>
        <w:bidi w:val="0"/>
        <w:spacing w:before="80"/>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Expenses of last illness, funeral, and burial;</w:t>
      </w:r>
    </w:p>
    <w:p>
      <w:pPr>
        <w:pStyle w:val="Body"/>
        <w:numPr>
          <w:ilvl w:val="1"/>
          <w:numId w:val="11"/>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Legally enforceable claims;</w:t>
      </w:r>
    </w:p>
    <w:p>
      <w:pPr>
        <w:pStyle w:val="Body"/>
        <w:numPr>
          <w:ilvl w:val="1"/>
          <w:numId w:val="11"/>
        </w:numPr>
        <w:bidi w:val="0"/>
        <w:spacing w:before="15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Costs of administration; and</w:t>
      </w:r>
    </w:p>
    <w:p>
      <w:pPr>
        <w:pStyle w:val="Body"/>
        <w:numPr>
          <w:ilvl w:val="1"/>
          <w:numId w:val="11"/>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Court-ordered family allowances.</w:t>
      </w:r>
    </w:p>
    <w:p>
      <w:pPr>
        <w:pStyle w:val="Body"/>
        <w:spacing w:before="141" w:line="312" w:lineRule="auto"/>
        <w:ind w:left="958" w:right="362"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Such payments are discretionary and may be made without court approval. No third party shall have a direct claim against the Trust solely by reason of this authority.</w:t>
      </w:r>
    </w:p>
    <w:p>
      <w:pPr>
        <w:pStyle w:val="Body"/>
        <w:numPr>
          <w:ilvl w:val="0"/>
          <w:numId w:val="43"/>
        </w:numPr>
        <w:bidi w:val="0"/>
        <w:spacing w:before="48" w:line="306" w:lineRule="auto"/>
        <w:ind w:right="576"/>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Retirement Accounts: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Qualified retirement benefits payable to this Trust shall be administered in a manner consistent with applicable federal law governing required minimum distributions. The Trustee shall distribute or hold retirement benefits only for individual beneficiaries where required by law and shall take reasonable steps to preserve favorable tax treatment. Retirement benefits shall not be used to pay debts or administrative expenses after the legally applicable designation date, except as permitted bylaw.</w:t>
      </w:r>
    </w:p>
    <w:p>
      <w:pPr>
        <w:pStyle w:val="Body"/>
        <w:numPr>
          <w:ilvl w:val="0"/>
          <w:numId w:val="11"/>
        </w:numPr>
        <w:bidi w:val="0"/>
        <w:spacing w:before="59" w:line="300" w:lineRule="auto"/>
        <w:ind w:right="705"/>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Payment of Death Taxes: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shall pay death taxes attributable to the Deceased Grantor's estate from the Deceased Grantor's Trust Property without apportionment,</w:t>
      </w:r>
    </w:p>
    <w:p>
      <w:pPr>
        <w:pStyle w:val="Body"/>
        <w:spacing w:before="62" w:line="300" w:lineRule="auto"/>
        <w:ind w:left="967" w:right="497" w:hanging="2"/>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unless otherwise required by law. The Trustee shall not seek contribution from beneficiaries for such payment.</w:t>
      </w:r>
    </w:p>
    <w:p>
      <w:pPr>
        <w:pStyle w:val="Body"/>
        <w:numPr>
          <w:ilvl w:val="0"/>
          <w:numId w:val="49"/>
        </w:numPr>
        <w:bidi w:val="0"/>
        <w:spacing w:before="79" w:line="300" w:lineRule="auto"/>
        <w:ind w:right="1057"/>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Authority to Make Tax Elections: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may make any elections reasonably necessary for efficient tax administration of the Deceased Grantor's estate, including:</w:t>
      </w:r>
    </w:p>
    <w:p>
      <w:pPr>
        <w:pStyle w:val="Body"/>
        <w:numPr>
          <w:ilvl w:val="1"/>
          <w:numId w:val="49"/>
        </w:numPr>
        <w:bidi w:val="0"/>
        <w:spacing w:before="80"/>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Electing alternate valuation dates;</w:t>
      </w:r>
    </w:p>
    <w:p>
      <w:pPr>
        <w:pStyle w:val="Body"/>
        <w:numPr>
          <w:ilvl w:val="1"/>
          <w:numId w:val="50"/>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Determining whether expenses are deducted for estate or income tax purposes; and</w:t>
      </w:r>
    </w:p>
    <w:p>
      <w:pPr>
        <w:pStyle w:val="Body"/>
        <w:numPr>
          <w:ilvl w:val="1"/>
          <w:numId w:val="49"/>
        </w:numPr>
        <w:bidi w:val="0"/>
        <w:spacing w:before="13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Electing portability of unused exclusion amounts, if advisable.</w:t>
      </w:r>
    </w:p>
    <w:p>
      <w:pPr>
        <w:pStyle w:val="Body"/>
        <w:spacing w:before="156"/>
        <w:ind w:left="958"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shall not be liable for good-faith decisions regarding tax elections.</w:t>
      </w:r>
    </w:p>
    <w:p>
      <w:pPr>
        <w:pStyle w:val="Body"/>
        <w:numPr>
          <w:ilvl w:val="0"/>
          <w:numId w:val="22"/>
        </w:numPr>
        <w:bidi w:val="0"/>
        <w:spacing w:before="141" w:line="306" w:lineRule="auto"/>
        <w:ind w:right="546"/>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Portability Election: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may elect portability of any deceased Grantor's unused federal estate tax exclusion amount, if applicable, by timely filing any required federal estate tax return and making such election, provided the Trustee determines in good faith that doing so is advisable for tax planning purposes. The Trustee shall not be liable for failing to make a portability election if, in the Trustee's reasonable judgment, no material tax benefit would result.</w:t>
      </w:r>
    </w:p>
    <w:p>
      <w:pPr>
        <w:pStyle w:val="Body"/>
        <w:numPr>
          <w:ilvl w:val="0"/>
          <w:numId w:val="51"/>
        </w:numPr>
        <w:bidi w:val="0"/>
        <w:spacing w:before="62" w:line="306" w:lineRule="auto"/>
        <w:ind w:right="77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Charitable Distributions: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To the extent practicable, charitable bequests shall be funded using income in respect of a decedent (IRD) assets where doing so provides favorable income tax treatment.</w:t>
      </w:r>
    </w:p>
    <w:p>
      <w:pPr>
        <w:pStyle w:val="Body"/>
        <w:tabs>
          <w:tab w:val="left" w:pos="961"/>
          <w:tab w:val="left" w:pos="963"/>
        </w:tabs>
        <w:spacing w:before="62" w:line="306" w:lineRule="auto"/>
        <w:ind w:left="958" w:right="770" w:firstLine="0"/>
        <w:rPr>
          <w:outline w:val="0"/>
          <w:color w:val="030303"/>
          <w:sz w:val="27"/>
          <w:szCs w:val="27"/>
          <w:u w:color="030303"/>
          <w14:textFill>
            <w14:solidFill>
              <w14:srgbClr w14:val="030303"/>
            </w14:solidFill>
          </w14:textFill>
        </w:rPr>
      </w:pPr>
    </w:p>
    <w:p>
      <w:pPr>
        <w:pStyle w:val="Body"/>
        <w:tabs>
          <w:tab w:val="left" w:pos="961"/>
          <w:tab w:val="left" w:pos="963"/>
        </w:tabs>
        <w:spacing w:before="62" w:line="306" w:lineRule="auto"/>
        <w:ind w:right="770"/>
        <w:rPr>
          <w:outline w:val="0"/>
          <w:color w:val="030303"/>
          <w:sz w:val="27"/>
          <w:szCs w:val="27"/>
          <w:u w:color="030303"/>
          <w14:textFill>
            <w14:solidFill>
              <w14:srgbClr w14:val="030303"/>
            </w14:solidFill>
          </w14:textFill>
        </w:rPr>
      </w:pPr>
      <w:r>
        <mc:AlternateContent>
          <mc:Choice Requires="wps">
            <w:drawing xmlns:a="http://schemas.openxmlformats.org/drawingml/2006/main">
              <wp:anchor distT="0" distB="0" distL="0" distR="0" simplePos="0" relativeHeight="251666432" behindDoc="0" locked="0" layoutInCell="1" allowOverlap="1">
                <wp:simplePos x="0" y="0"/>
                <wp:positionH relativeFrom="column">
                  <wp:posOffset>0</wp:posOffset>
                </wp:positionH>
                <wp:positionV relativeFrom="line">
                  <wp:posOffset>29908</wp:posOffset>
                </wp:positionV>
                <wp:extent cx="6743700" cy="12700"/>
                <wp:effectExtent l="0" t="0" r="0" b="0"/>
                <wp:wrapTopAndBottom distT="0" distB="0"/>
                <wp:docPr id="1073741834"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35" style="visibility:visible;position:absolute;margin-left:0.0pt;margin-top:2.4pt;width:531.0pt;height:1.0pt;z-index:251666432;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heading 6"/>
        <w:ind w:firstLine="363"/>
      </w:pPr>
      <w:bookmarkStart w:name="_headingh.tnl267wnt3po" w:id="0"/>
      <w:bookmarkEnd w:id="0"/>
      <w:r>
        <w:rPr>
          <w:outline w:val="0"/>
          <w:color w:val="030303"/>
          <w:u w:color="030303"/>
          <w:rtl w:val="0"/>
          <w:lang w:val="en-US"/>
          <w14:textFill>
            <w14:solidFill>
              <w14:srgbClr w14:val="030303"/>
            </w14:solidFill>
          </w14:textFill>
        </w:rPr>
        <w:t>ARTICLE TEN</w:t>
      </w:r>
    </w:p>
    <w:p>
      <w:pPr>
        <w:pStyle w:val="Body"/>
        <w:spacing w:before="33"/>
        <w:rPr>
          <w:b w:val="1"/>
          <w:bCs w:val="1"/>
          <w:sz w:val="27"/>
          <w:szCs w:val="27"/>
        </w:rPr>
      </w:pPr>
    </w:p>
    <w:p>
      <w:pPr>
        <w:pStyle w:val="Body"/>
        <w:ind w:left="362"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 xml:space="preserve">Specific Bequests </w:t>
      </w:r>
      <w:r>
        <w:rPr>
          <w:rFonts w:ascii="Arial" w:hAnsi="Arial"/>
          <w:b w:val="1"/>
          <w:bCs w:val="1"/>
          <w:i w:val="1"/>
          <w:iCs w:val="1"/>
          <w:outline w:val="0"/>
          <w:color w:val="030303"/>
          <w:sz w:val="24"/>
          <w:szCs w:val="24"/>
          <w:u w:color="030303"/>
          <w:rtl w:val="0"/>
          <w14:textFill>
            <w14:solidFill>
              <w14:srgbClr w14:val="030303"/>
            </w14:solidFill>
          </w14:textFill>
        </w:rPr>
        <w:t xml:space="preserve">(Wasiyah) </w:t>
      </w:r>
      <w:r>
        <w:rPr>
          <w:b w:val="1"/>
          <w:bCs w:val="1"/>
          <w:outline w:val="0"/>
          <w:color w:val="030303"/>
          <w:sz w:val="26"/>
          <w:szCs w:val="26"/>
          <w:u w:color="030303"/>
          <w:rtl w:val="0"/>
          <w:lang w:val="en-US"/>
          <w14:textFill>
            <w14:solidFill>
              <w14:srgbClr w14:val="030303"/>
            </w14:solidFill>
          </w14:textFill>
        </w:rPr>
        <w:t>of Each Grantor</w:t>
      </w:r>
    </w:p>
    <w:p>
      <w:pPr>
        <w:pStyle w:val="Body"/>
        <w:numPr>
          <w:ilvl w:val="0"/>
          <w:numId w:val="52"/>
        </w:numPr>
        <w:bidi w:val="0"/>
        <w:spacing w:before="220" w:line="304" w:lineRule="auto"/>
        <w:ind w:right="598"/>
        <w:jc w:val="left"/>
        <w:rPr>
          <w:outline w:val="0"/>
          <w:color w:val="030303"/>
          <w:sz w:val="26"/>
          <w:szCs w:val="26"/>
          <w:rtl w:val="0"/>
          <w:lang w:val="en-US"/>
          <w14:textFill>
            <w14:solidFill>
              <w14:srgbClr w14:val="030303"/>
            </w14:solidFill>
          </w14:textFill>
        </w:rPr>
      </w:pPr>
      <w:r>
        <w:rPr>
          <w:b w:val="1"/>
          <w:bCs w:val="1"/>
          <w:outline w:val="0"/>
          <w:color w:val="030303"/>
          <w:sz w:val="26"/>
          <w:szCs w:val="26"/>
          <w:u w:color="030303"/>
          <w:rtl w:val="0"/>
          <w:lang w:val="en-US"/>
          <w14:textFill>
            <w14:solidFill>
              <w14:srgbClr w14:val="030303"/>
            </w14:solidFill>
          </w14:textFill>
        </w:rPr>
        <w:t xml:space="preserve">Individual Nature of Bequests: </w:t>
      </w:r>
      <w:r>
        <w:rPr>
          <w:outline w:val="0"/>
          <w:color w:val="030303"/>
          <w:sz w:val="27"/>
          <w:szCs w:val="27"/>
          <w:u w:color="030303"/>
          <w:rtl w:val="0"/>
          <w:lang w:val="en-US"/>
          <w14:textFill>
            <w14:solidFill>
              <w14:srgbClr w14:val="030303"/>
            </w14:solidFill>
          </w14:textFill>
        </w:rPr>
        <w:t>Each Grantor may designate specific charitable or other permissible bequests to take effect upon that Grantor's death. All bequests made by a Grantor under this Article shall be satisfied solely from that Grantor's Deceased Grantor's Trust Property and shall not affect the Survivor's Trust or the other Grantor's property.</w:t>
      </w:r>
    </w:p>
    <w:p>
      <w:pPr>
        <w:pStyle w:val="Body"/>
        <w:numPr>
          <w:ilvl w:val="0"/>
          <w:numId w:val="53"/>
        </w:numPr>
        <w:bidi w:val="0"/>
        <w:spacing w:before="71" w:line="304" w:lineRule="auto"/>
        <w:ind w:right="474"/>
        <w:jc w:val="left"/>
        <w:rPr>
          <w:outline w:val="0"/>
          <w:color w:val="030303"/>
          <w:sz w:val="26"/>
          <w:szCs w:val="26"/>
          <w:rtl w:val="0"/>
          <w:lang w:val="en-US"/>
          <w14:textFill>
            <w14:solidFill>
              <w14:srgbClr w14:val="030303"/>
            </w14:solidFill>
          </w14:textFill>
        </w:rPr>
      </w:pPr>
      <w:r>
        <w:rPr>
          <w:b w:val="1"/>
          <w:bCs w:val="1"/>
          <w:outline w:val="0"/>
          <w:color w:val="030303"/>
          <w:sz w:val="26"/>
          <w:szCs w:val="26"/>
          <w:u w:color="030303"/>
          <w:rtl w:val="0"/>
          <w:lang w:val="en-US"/>
          <w14:textFill>
            <w14:solidFill>
              <w14:srgbClr w14:val="030303"/>
            </w14:solidFill>
          </w14:textFill>
        </w:rPr>
        <w:t xml:space="preserve">Bequests of Husband: </w:t>
      </w:r>
      <w:r>
        <w:rPr>
          <w:outline w:val="0"/>
          <w:color w:val="030303"/>
          <w:sz w:val="27"/>
          <w:szCs w:val="27"/>
          <w:u w:color="030303"/>
          <w:rtl w:val="0"/>
          <w:lang w:val="en-US"/>
          <w14:textFill>
            <w14:solidFill>
              <w14:srgbClr w14:val="030303"/>
            </w14:solidFill>
          </w14:textFill>
        </w:rPr>
        <w:t>Upon the death of {husbandFullName}, the Trustee shall distribute the following bequests from Husband's net distributable estate:</w:t>
      </w:r>
    </w:p>
    <w:p>
      <w:pPr>
        <w:pStyle w:val="Body"/>
      </w:pPr>
      <w:r>
        <w:t xml:space="preserve">{#hasHusbandCharitable}</w:t>
      </w:r>
    </w:p>
    <w:tbl>
      <w:tblPr>
        <w:tblW w:w="11018" w:type="dxa"/>
        <w:jc w:val="left"/>
        <w:tblInd w:w="6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509"/>
        <w:gridCol w:w="5509"/>
      </w:tblGrid>
      <w:tr>
        <w:tblPrEx>
          <w:shd w:val="clear" w:color="auto" w:fill="ced7e7"/>
        </w:tblPrEx>
        <w:trPr>
          <w:trHeight w:val="310" w:hRule="atLeast"/>
        </w:trPr>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pPr>
            <w:r>
              <w:rPr>
                <w:b/>
                <w:sz w:val="24"/>
                <w:szCs w:val="24"/>
              </w:rPr>
              <w:t xml:space="preserve">Charity</w:t>
            </w:r>
          </w:p>
        </w:tc>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pPr>
            <w:r>
              <w:rPr>
                <w:b/>
                <w:sz w:val="24"/>
                <w:szCs w:val="24"/>
              </w:rPr>
              <w:t xml:space="preserve">Percentage</w:t>
            </w:r>
          </w:p>
        </w:tc>
      </w:tr>
      <w:tr>
        <w:tblPrEx>
          <w:shd w:val="clear" w:color="auto" w:fill="ced7e7"/>
        </w:tblPrEx>
        <w:trPr>
          <w:trHeight w:val="251" w:hRule="atLeast"/>
        </w:trPr>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t xml:space="preserve">{#husbandCharitable}{charityName}</w:t>
            </w:r>
          </w:p>
        </w:tc>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t xml:space="preserve">{percentage}%{/husbandCharitable}</w:t>
            </w:r>
          </w:p>
        </w:tc>
      </w:tr>
    </w:tbl>
    <w:p>
      <w:pPr>
        <w:pStyle w:val="Body"/>
      </w:pPr>
      <w:r>
        <w:t xml:space="preserve">{/hasHusbandCharitable}</w:t>
      </w:r>
    </w:p>
    <w:p>
      <w:pPr>
        <w:pStyle w:val="Body"/>
      </w:pPr>
      <w:r>
        <w:t xml:space="preserve">{^hasHusbandCharitable}</w:t>
      </w:r>
    </w:p>
    <w:p>
      <w:pPr>
        <w:pStyle w:val="Body"/>
      </w:pPr>
      <w:r>
        <w:t xml:space="preserve">Husband has made no charitable bequests under this Article</w:t>
      </w:r>
    </w:p>
    <w:p>
      <w:pPr>
        <w:pStyle w:val="Body"/>
      </w:pPr>
      <w:r>
        <w:t xml:space="preserve">{/hasHusbandCharitable}</w:t>
      </w:r>
    </w:p>
    <w:p>
      <w:pPr>
        <w:pStyle w:val="Body"/>
      </w:pPr>
      <w:r>
        <w:t xml:space="preserve"/>
      </w:r>
    </w:p>
    <w:p>
      <w:pPr>
        <w:pStyle w:val="Body"/>
      </w:pPr>
      <w:r>
        <w:t xml:space="preserve">{#hasHusbandNonCharitable}</w:t>
      </w:r>
    </w:p>
    <w:tbl>
      <w:tblPr>
        <w:tblW w:w="11018" w:type="dxa"/>
        <w:jc w:val="left"/>
        <w:tblInd w:w="6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73"/>
        <w:gridCol w:w="3673"/>
        <w:gridCol w:w="3672"/>
      </w:tblGrid>
      <w:tr>
        <w:tblPrEx>
          <w:shd w:val="clear" w:color="auto" w:fill="ced7e7"/>
        </w:tblPrEx>
        <w:trPr>
          <w:trHeight w:val="310" w:hRule="atLeast"/>
        </w:trPr>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pPr>
            <w:r>
              <w:rPr>
                <w:b/>
                <w:sz w:val="24"/>
                <w:szCs w:val="24"/>
              </w:rPr>
              <w:t xml:space="preserve">Recipient</w:t>
            </w:r>
          </w:p>
        </w:tc>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pPr>
            <w:r>
              <w:rPr>
                <w:b/>
                <w:sz w:val="24"/>
                <w:szCs w:val="24"/>
              </w:rPr>
              <w:t xml:space="preserve">Relationship</w:t>
            </w:r>
          </w:p>
        </w:tc>
        <w:tc>
          <w:tcPr>
            <w:tcW w:type="dxa" w:w="36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pPr>
            <w:r>
              <w:rPr>
                <w:b/>
                <w:sz w:val="24"/>
                <w:szCs w:val="24"/>
              </w:rPr>
              <w:t xml:space="preserve">Percentage</w:t>
            </w:r>
          </w:p>
        </w:tc>
      </w:tr>
      <w:tr>
        <w:tblPrEx>
          <w:shd w:val="clear" w:color="auto" w:fill="ced7e7"/>
        </w:tblPrEx>
        <w:trPr>
          <w:trHeight w:val="251" w:hRule="atLeast"/>
        </w:trPr>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t xml:space="preserve">{#husbandNonCharitable}{recipientName}</w:t>
            </w:r>
          </w:p>
        </w:tc>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t xml:space="preserve">{relationship}</w:t>
            </w:r>
          </w:p>
        </w:tc>
        <w:tc>
          <w:tcPr>
            <w:tcW w:type="dxa" w:w="36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t xml:space="preserve">{percentage}%{/husbandNonCharitable}</w:t>
            </w:r>
          </w:p>
        </w:tc>
      </w:tr>
    </w:tbl>
    <w:p>
      <w:pPr>
        <w:pStyle w:val="Body"/>
      </w:pPr>
      <w:r>
        <w:t xml:space="preserve">{/hasHusbandNonCharitable}</w:t>
      </w:r>
    </w:p>
    <w:p>
      <w:pPr>
        <w:pStyle w:val="Body"/>
      </w:pPr>
      <w:r>
        <w:t xml:space="preserve">{^hasHusbandNonCharitable}</w:t>
      </w:r>
    </w:p>
    <w:p>
      <w:pPr>
        <w:pStyle w:val="Body"/>
      </w:pPr>
      <w:r>
        <w:t xml:space="preserve">Husband has made no non-charitable bequests under this Article</w:t>
      </w:r>
    </w:p>
    <w:p>
      <w:pPr>
        <w:pStyle w:val="Body"/>
      </w:pPr>
      <w:r>
        <w:t xml:space="preserve">{/hasHusbandNonCharitable}</w:t>
      </w:r>
    </w:p>
    <w:p>
      <w:pPr>
        <w:pStyle w:val="Body"/>
      </w:pPr>
      <w:r>
        <w:t xml:space="preserve"/>
      </w:r>
    </w:p>
    <w:p>
      <w:pPr>
        <w:pStyle w:val="Body"/>
        <w:numPr>
          <w:ilvl w:val="0"/>
          <w:numId w:val="54"/>
        </w:numPr>
        <w:bidi w:val="0"/>
        <w:spacing w:before="80" w:line="300" w:lineRule="auto"/>
        <w:ind w:right="346"/>
        <w:jc w:val="left"/>
        <w:rPr>
          <w:outline w:val="0"/>
          <w:color w:val="030303"/>
          <w:sz w:val="26"/>
          <w:szCs w:val="26"/>
          <w:rtl w:val="0"/>
          <w:lang w:val="en-US"/>
          <w14:textFill>
            <w14:solidFill>
              <w14:srgbClr w14:val="030303"/>
            </w14:solidFill>
          </w14:textFill>
        </w:rPr>
      </w:pPr>
      <w:r>
        <w:rPr>
          <w:b w:val="1"/>
          <w:bCs w:val="1"/>
          <w:outline w:val="0"/>
          <w:color w:val="030303"/>
          <w:sz w:val="26"/>
          <w:szCs w:val="26"/>
          <w:u w:color="030303"/>
          <w:rtl w:val="0"/>
          <w:lang w:val="en-US"/>
          <w14:textFill>
            <w14:solidFill>
              <w14:srgbClr w14:val="030303"/>
            </w14:solidFill>
          </w14:textFill>
        </w:rPr>
        <w:t xml:space="preserve">Bequests of Wife: </w:t>
      </w:r>
      <w:r>
        <w:rPr>
          <w:outline w:val="0"/>
          <w:color w:val="030303"/>
          <w:sz w:val="27"/>
          <w:szCs w:val="27"/>
          <w:u w:color="030303"/>
          <w:rtl w:val="0"/>
          <w:lang w:val="en-US"/>
          <w14:textFill>
            <w14:solidFill>
              <w14:srgbClr w14:val="030303"/>
            </w14:solidFill>
          </w14:textFill>
        </w:rPr>
        <w:t xml:space="preserve">Upon the death of {wifeFullName}, the Trustee shall distribute the following bequests from Wife's net distributable estate: </w:t>
      </w:r>
    </w:p>
    <w:p>
      <w:pPr>
        <w:pStyle w:val="Body"/>
      </w:pPr>
      <w:r>
        <w:t xml:space="preserve">{#hasWifeCharitable}</w:t>
      </w:r>
    </w:p>
    <w:tbl>
      <w:tblPr>
        <w:tblW w:w="11018" w:type="dxa"/>
        <w:jc w:val="left"/>
        <w:tblInd w:w="6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509"/>
        <w:gridCol w:w="5509"/>
      </w:tblGrid>
      <w:tr>
        <w:tblPrEx>
          <w:shd w:val="clear" w:color="auto" w:fill="ced7e7"/>
        </w:tblPrEx>
        <w:trPr>
          <w:trHeight w:val="310" w:hRule="atLeast"/>
        </w:trPr>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pPr>
            <w:r>
              <w:rPr>
                <w:b/>
                <w:sz w:val="24"/>
                <w:szCs w:val="24"/>
              </w:rPr>
              <w:t xml:space="preserve">Charity</w:t>
            </w:r>
          </w:p>
        </w:tc>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pPr>
            <w:r>
              <w:rPr>
                <w:b/>
                <w:sz w:val="24"/>
                <w:szCs w:val="24"/>
              </w:rPr>
              <w:t xml:space="preserve">Percentage</w:t>
            </w:r>
          </w:p>
        </w:tc>
      </w:tr>
      <w:tr>
        <w:tblPrEx>
          <w:shd w:val="clear" w:color="auto" w:fill="ced7e7"/>
        </w:tblPrEx>
        <w:trPr>
          <w:trHeight w:val="251" w:hRule="atLeast"/>
        </w:trPr>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t xml:space="preserve">{#wifeCharitable}{charityName}</w:t>
            </w:r>
          </w:p>
        </w:tc>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t xml:space="preserve">{percentage}%{/wifeCharitable}</w:t>
            </w:r>
          </w:p>
        </w:tc>
      </w:tr>
    </w:tbl>
    <w:p>
      <w:pPr>
        <w:pStyle w:val="Body"/>
      </w:pPr>
      <w:r>
        <w:t xml:space="preserve">{/hasWifeCharitable}</w:t>
      </w:r>
    </w:p>
    <w:p>
      <w:pPr>
        <w:pStyle w:val="Body"/>
      </w:pPr>
      <w:r>
        <w:t xml:space="preserve">{^hasWifeCharitable}</w:t>
      </w:r>
    </w:p>
    <w:p>
      <w:pPr>
        <w:pStyle w:val="Body"/>
      </w:pPr>
      <w:r>
        <w:t xml:space="preserve">Wife has made no charitable bequests under this Article</w:t>
      </w:r>
    </w:p>
    <w:p>
      <w:pPr>
        <w:pStyle w:val="Body"/>
      </w:pPr>
      <w:r>
        <w:t xml:space="preserve">{/hasWifeCharitable}</w:t>
      </w:r>
    </w:p>
    <w:p>
      <w:pPr>
        <w:pStyle w:val="Body"/>
      </w:pPr>
      <w:r>
        <w:t xml:space="preserve"/>
      </w:r>
    </w:p>
    <w:p>
      <w:pPr>
        <w:pStyle w:val="Body"/>
      </w:pPr>
      <w:r>
        <w:t xml:space="preserve">{#hasWifeNonCharitable}</w:t>
      </w:r>
    </w:p>
    <w:tbl>
      <w:tblPr>
        <w:tblW w:w="11018" w:type="dxa"/>
        <w:jc w:val="left"/>
        <w:tblInd w:w="6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73"/>
        <w:gridCol w:w="3673"/>
        <w:gridCol w:w="3672"/>
      </w:tblGrid>
      <w:tr>
        <w:tblPrEx>
          <w:shd w:val="clear" w:color="auto" w:fill="ced7e7"/>
        </w:tblPrEx>
        <w:trPr>
          <w:trHeight w:val="310" w:hRule="atLeast"/>
        </w:trPr>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pPr>
            <w:r>
              <w:rPr>
                <w:b/>
                <w:sz w:val="24"/>
                <w:szCs w:val="24"/>
              </w:rPr>
              <w:t xml:space="preserve">Recipient</w:t>
            </w:r>
          </w:p>
        </w:tc>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pPr>
            <w:r>
              <w:rPr>
                <w:b/>
                <w:sz w:val="24"/>
                <w:szCs w:val="24"/>
              </w:rPr>
              <w:t xml:space="preserve">Relationship</w:t>
            </w:r>
          </w:p>
        </w:tc>
        <w:tc>
          <w:tcPr>
            <w:tcW w:type="dxa" w:w="36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pPr>
            <w:r>
              <w:rPr>
                <w:b/>
                <w:sz w:val="24"/>
                <w:szCs w:val="24"/>
              </w:rPr>
              <w:t xml:space="preserve">Percentage</w:t>
            </w:r>
          </w:p>
        </w:tc>
      </w:tr>
      <w:tr>
        <w:tblPrEx>
          <w:shd w:val="clear" w:color="auto" w:fill="ced7e7"/>
        </w:tblPrEx>
        <w:trPr>
          <w:trHeight w:val="251" w:hRule="atLeast"/>
        </w:trPr>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t xml:space="preserve">{#wifeNonCharitable}{recipientName}</w:t>
            </w:r>
          </w:p>
        </w:tc>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t xml:space="preserve">{relationship}</w:t>
            </w:r>
          </w:p>
        </w:tc>
        <w:tc>
          <w:tcPr>
            <w:tcW w:type="dxa" w:w="36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t xml:space="preserve">{percentage}%{/wifeNonCharitable}</w:t>
            </w:r>
          </w:p>
        </w:tc>
      </w:tr>
    </w:tbl>
    <w:p>
      <w:pPr>
        <w:pStyle w:val="Body"/>
      </w:pPr>
      <w:r>
        <w:t xml:space="preserve">{/hasWifeNonCharitable}</w:t>
      </w:r>
    </w:p>
    <w:p>
      <w:pPr>
        <w:pStyle w:val="Body"/>
      </w:pPr>
      <w:r>
        <w:t xml:space="preserve">{^hasWifeNonCharitable}</w:t>
      </w:r>
    </w:p>
    <w:p>
      <w:pPr>
        <w:pStyle w:val="Body"/>
      </w:pPr>
      <w:r>
        <w:t xml:space="preserve">Wife has made no non-charitable bequests under this Article</w:t>
      </w:r>
    </w:p>
    <w:p>
      <w:pPr>
        <w:pStyle w:val="Body"/>
      </w:pPr>
      <w:r>
        <w:t xml:space="preserve">{/hasWifeNonCharitable}</w:t>
      </w:r>
    </w:p>
    <w:p>
      <w:pPr>
        <w:pStyle w:val="Body"/>
      </w:pPr>
      <w:r>
        <w:t xml:space="preserve"/>
      </w:r>
    </w:p>
    <w:p>
      <w:pPr>
        <w:pStyle w:val="Body"/>
        <w:numPr>
          <w:ilvl w:val="0"/>
          <w:numId w:val="54"/>
        </w:numPr>
        <w:bidi w:val="0"/>
        <w:spacing w:before="84" w:line="304" w:lineRule="auto"/>
        <w:ind w:right="355"/>
        <w:jc w:val="left"/>
        <w:rPr>
          <w:outline w:val="0"/>
          <w:color w:val="030303"/>
          <w:sz w:val="26"/>
          <w:szCs w:val="26"/>
          <w:rtl w:val="0"/>
          <w14:textFill>
            <w14:solidFill>
              <w14:srgbClr w14:val="030303"/>
            </w14:solidFill>
          </w14:textFill>
        </w:rPr>
      </w:pPr>
      <w:r>
        <w:rPr>
          <w:outline w:val="0"/>
          <w:color w:val="030303"/>
          <w:sz w:val="26"/>
          <w:szCs w:val="26"/>
          <w:u w:color="030303"/>
          <w:rtl w:val="0"/>
          <w14:textFill>
            <w14:solidFill>
              <w14:srgbClr w14:val="030303"/>
            </w14:solidFill>
          </w14:textFill>
        </w:rPr>
        <w:t>One-Third Limitation: The total of all bequests made by a Grantor under this Article shall not exceed one-third (1/3) of that Grantor's net distributable estate after payment of debts, funeral expenses, and administrative costs, unless all Islamic heirs of that Grantor consent in writing after death. If the total designated bequests exceed one-third (1/3), the Trustee shall proportionally reduce such bequests to comply with this limitation. No bequest shall be distributed to a person who qualifies as an Islamic heir of the Grantor at the time of death unless all other Islamic heirs provide written consent after death.</w:t>
      </w:r>
    </w:p>
    <w:p>
      <w:pPr>
        <w:pStyle w:val="Body"/>
        <w:numPr>
          <w:ilvl w:val="0"/>
          <w:numId w:val="55"/>
        </w:numPr>
        <w:bidi w:val="0"/>
        <w:spacing w:before="76" w:line="302" w:lineRule="auto"/>
        <w:ind w:right="384"/>
        <w:jc w:val="left"/>
        <w:rPr>
          <w:outline w:val="0"/>
          <w:color w:val="030303"/>
          <w:sz w:val="26"/>
          <w:szCs w:val="26"/>
          <w:rtl w:val="0"/>
          <w:lang w:val="en-US"/>
          <w14:textFill>
            <w14:solidFill>
              <w14:srgbClr w14:val="030303"/>
            </w14:solidFill>
          </w14:textFill>
        </w:rPr>
      </w:pPr>
      <w:r>
        <w:rPr>
          <w:b w:val="1"/>
          <w:bCs w:val="1"/>
          <w:outline w:val="0"/>
          <w:color w:val="030303"/>
          <w:sz w:val="26"/>
          <w:szCs w:val="26"/>
          <w:u w:color="030303"/>
          <w:rtl w:val="0"/>
          <w:lang w:val="en-US"/>
          <w14:textFill>
            <w14:solidFill>
              <w14:srgbClr w14:val="030303"/>
            </w14:solidFill>
          </w14:textFill>
        </w:rPr>
        <w:t xml:space="preserve">Lapse or Failure of Bequest: </w:t>
      </w:r>
      <w:r>
        <w:rPr>
          <w:outline w:val="0"/>
          <w:color w:val="030303"/>
          <w:sz w:val="24"/>
          <w:szCs w:val="24"/>
          <w:u w:color="030303"/>
          <w:rtl w:val="0"/>
          <w:lang w:val="en-US"/>
          <w14:textFill>
            <w14:solidFill>
              <w14:srgbClr w14:val="030303"/>
            </w14:solidFill>
          </w14:textFill>
        </w:rPr>
        <w:t xml:space="preserve">If </w:t>
      </w:r>
      <w:r>
        <w:rPr>
          <w:outline w:val="0"/>
          <w:color w:val="030303"/>
          <w:sz w:val="27"/>
          <w:szCs w:val="27"/>
          <w:u w:color="030303"/>
          <w:rtl w:val="0"/>
          <w:lang w:val="en-US"/>
          <w14:textFill>
            <w14:solidFill>
              <w14:srgbClr w14:val="030303"/>
            </w14:solidFill>
          </w14:textFill>
        </w:rPr>
        <w:t>any designated charity or beneficiary does not exist, declines the bequest, or is legally incapable of receiving it, that portion shall be added to the residuary estate of that Grantor and distributed in accordance with the following Article.</w:t>
      </w:r>
    </w:p>
    <w:p>
      <w:pPr>
        <w:pStyle w:val="Body"/>
        <w:spacing w:before="139"/>
        <w:rPr>
          <w:sz w:val="20"/>
          <w:szCs w:val="20"/>
        </w:rPr>
      </w:pPr>
      <w:r>
        <mc:AlternateContent>
          <mc:Choice Requires="wps">
            <w:drawing xmlns:a="http://schemas.openxmlformats.org/drawingml/2006/main">
              <wp:anchor distT="0" distB="0" distL="0" distR="0" simplePos="0" relativeHeight="251667456" behindDoc="0" locked="0" layoutInCell="1" allowOverlap="1">
                <wp:simplePos x="0" y="0"/>
                <wp:positionH relativeFrom="column">
                  <wp:posOffset>285750</wp:posOffset>
                </wp:positionH>
                <wp:positionV relativeFrom="line">
                  <wp:posOffset>241690</wp:posOffset>
                </wp:positionV>
                <wp:extent cx="6743700" cy="12700"/>
                <wp:effectExtent l="0" t="0" r="0" b="0"/>
                <wp:wrapTopAndBottom distT="0" distB="0"/>
                <wp:docPr id="1073741835"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36" style="visibility:visible;position:absolute;margin-left:22.5pt;margin-top:19.0pt;width:531.0pt;height:1.0pt;z-index:251667456;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tabs>
          <w:tab w:val="left" w:pos="962"/>
        </w:tabs>
        <w:spacing w:before="76" w:line="302" w:lineRule="auto"/>
        <w:ind w:left="958" w:right="384" w:firstLine="0"/>
        <w:sectPr>
          <w:headerReference w:type="default" r:id="rId4"/>
          <w:footerReference w:type="default" r:id="rId5"/>
          <w:pgSz w:w="12240" w:h="15840" w:orient="portrait"/>
          <w:pgMar w:top="300" w:right="360" w:bottom="280" w:left="360" w:header="360" w:footer="360"/>
          <w:pgNumType w:start="1"/>
          <w:bidi w:val="0"/>
        </w:sectPr>
      </w:pPr>
    </w:p>
    <w:p>
      <w:pPr>
        <w:pStyle w:val="Body"/>
        <w:tabs>
          <w:tab w:val="left" w:pos="962"/>
        </w:tabs>
        <w:spacing w:before="76" w:line="302" w:lineRule="auto"/>
        <w:ind w:right="384"/>
        <w:rPr>
          <w:outline w:val="0"/>
          <w:color w:val="030303"/>
          <w:sz w:val="26"/>
          <w:szCs w:val="26"/>
          <w:u w:color="030303"/>
          <w14:textFill>
            <w14:solidFill>
              <w14:srgbClr w14:val="030303"/>
            </w14:solidFill>
          </w14:textFill>
        </w:rPr>
      </w:pPr>
    </w:p>
    <w:p>
      <w:pPr>
        <w:pStyle w:val="heading 6"/>
        <w:ind w:firstLine="363"/>
      </w:pPr>
      <w:r>
        <w:rPr>
          <w:outline w:val="0"/>
          <w:color w:val="030303"/>
          <w:u w:color="030303"/>
          <w:rtl w:val="0"/>
          <w:lang w:val="en-US"/>
          <w14:textFill>
            <w14:solidFill>
              <w14:srgbClr w14:val="030303"/>
            </w14:solidFill>
          </w14:textFill>
        </w:rPr>
        <w:t>ARTICLE ELEVEN</w:t>
      </w:r>
    </w:p>
    <w:p>
      <w:pPr>
        <w:pStyle w:val="Body"/>
        <w:ind w:left="356"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The Survivor's Trust</w:t>
      </w:r>
    </w:p>
    <w:p>
      <w:pPr>
        <w:pStyle w:val="Body"/>
        <w:numPr>
          <w:ilvl w:val="0"/>
          <w:numId w:val="22"/>
        </w:numPr>
        <w:bidi w:val="0"/>
        <w:spacing w:before="221" w:line="309" w:lineRule="auto"/>
        <w:ind w:right="42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Purpose of This Article: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Survivor's Trust shall consist solely of the surviving Grantor's separate property and allocated share of community property following the death of the first Grantor. The Survivor's Trust shall be administered exclusively for the benefit of the surviving Grantor during the surviving Grantor's lifetime.</w:t>
      </w:r>
    </w:p>
    <w:p>
      <w:pPr>
        <w:pStyle w:val="Body"/>
        <w:numPr>
          <w:ilvl w:val="0"/>
          <w:numId w:val="56"/>
        </w:numPr>
        <w:bidi w:val="0"/>
        <w:spacing w:before="51"/>
        <w:ind w:right="0"/>
        <w:jc w:val="left"/>
        <w:rPr>
          <w:outline w:val="0"/>
          <w:color w:val="030303"/>
          <w:sz w:val="26"/>
          <w:szCs w:val="26"/>
          <w:rtl w:val="0"/>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 xml:space="preserve">Trustee: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surviving Grantor may serve as sole Trustee of the Survivor's Trust.</w:t>
      </w:r>
    </w:p>
    <w:p>
      <w:pPr>
        <w:pStyle w:val="Body"/>
        <w:numPr>
          <w:ilvl w:val="0"/>
          <w:numId w:val="9"/>
        </w:numPr>
        <w:bidi w:val="0"/>
        <w:spacing w:before="141" w:line="306" w:lineRule="auto"/>
        <w:ind w:right="564"/>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Right to Amend and Revoke: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surviving Grantor retains the absolute right to amend, restate, or revoke the Survivor's Trust in whole or in part during the surviving Grantor's lifetime. This right applies solely to the Survivor's Trust and does not permit modification of any distributions made or required upon the death of the first Grantor. Any amendment or revocation must be in writing and signed by the surviving Grantor.</w:t>
      </w:r>
    </w:p>
    <w:p>
      <w:pPr>
        <w:pStyle w:val="Body"/>
        <w:numPr>
          <w:ilvl w:val="0"/>
          <w:numId w:val="8"/>
        </w:numPr>
        <w:bidi w:val="0"/>
        <w:spacing w:before="56" w:line="309" w:lineRule="auto"/>
        <w:ind w:right="53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Administration: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shall distribute all net income of the Survivor's Trust to the surviving Grantor at least annually. The Trustee may distribute as much of the principal of the Survivor's Trust to the surviving Grantor as the Trustee determines advisable for any purpose.</w:t>
      </w:r>
    </w:p>
    <w:p>
      <w:pPr>
        <w:pStyle w:val="Body"/>
        <w:numPr>
          <w:ilvl w:val="0"/>
          <w:numId w:val="9"/>
        </w:numPr>
        <w:bidi w:val="0"/>
        <w:spacing w:before="46" w:line="306" w:lineRule="auto"/>
        <w:ind w:right="525"/>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Incapacity of the Surviving Grantor: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During any period in which the surviving Grantor is incapacitated, the Survivor's Trust shall be administered in accordance with Article Eight of this Trust Agreement.</w:t>
      </w:r>
    </w:p>
    <w:p>
      <w:pPr>
        <w:pStyle w:val="Body"/>
        <w:numPr>
          <w:ilvl w:val="0"/>
          <w:numId w:val="9"/>
        </w:numPr>
        <w:bidi w:val="0"/>
        <w:spacing w:before="57" w:line="312" w:lineRule="auto"/>
        <w:ind w:right="50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Distribution Upon Death of the Surviving Grantor: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Upon the death of the surviving Grantor, the Survivor's Trust shall become irrevocable. After completion of administrative</w:t>
      </w:r>
    </w:p>
    <w:p>
      <w:pPr>
        <w:pStyle w:val="Body"/>
        <w:spacing w:before="67" w:line="319" w:lineRule="auto"/>
        <w:ind w:left="960" w:right="362" w:firstLine="2"/>
        <w:rPr>
          <w:outline w:val="0"/>
          <w:color w:val="030303"/>
          <w:sz w:val="26"/>
          <w:szCs w:val="26"/>
          <w:u w:color="030303"/>
          <w14:textFill>
            <w14:solidFill>
              <w14:srgbClr w14:val="030303"/>
            </w14:solidFill>
          </w14:textFill>
        </w:rPr>
      </w:pPr>
      <w:r>
        <w:rPr>
          <w:outline w:val="0"/>
          <w:color w:val="030303"/>
          <w:sz w:val="26"/>
          <w:szCs w:val="26"/>
          <w:u w:color="030303"/>
          <w:rtl w:val="0"/>
          <w:lang w:val="en-US"/>
          <w14:textFill>
            <w14:solidFill>
              <w14:srgbClr w14:val="030303"/>
            </w14:solidFill>
          </w14:textFill>
        </w:rPr>
        <w:t>tasks under Article Nine, the remaining property of the Survivor's Trust shall be distributed in accordance with Article Twelve (Distribution in Accordance with the Islamic Law of Inheritance).</w:t>
      </w:r>
    </w:p>
    <w:p>
      <w:pPr>
        <w:pStyle w:val="Body"/>
        <w:spacing w:before="116"/>
        <w:rPr>
          <w:sz w:val="20"/>
          <w:szCs w:val="20"/>
        </w:rPr>
      </w:pPr>
      <w:r>
        <mc:AlternateContent>
          <mc:Choice Requires="wps">
            <w:drawing xmlns:a="http://schemas.openxmlformats.org/drawingml/2006/main">
              <wp:anchor distT="0" distB="0" distL="0" distR="0" simplePos="0" relativeHeight="251668480" behindDoc="0" locked="0" layoutInCell="1" allowOverlap="1">
                <wp:simplePos x="0" y="0"/>
                <wp:positionH relativeFrom="column">
                  <wp:posOffset>285750</wp:posOffset>
                </wp:positionH>
                <wp:positionV relativeFrom="line">
                  <wp:posOffset>227069</wp:posOffset>
                </wp:positionV>
                <wp:extent cx="6743700" cy="12700"/>
                <wp:effectExtent l="0" t="0" r="0" b="0"/>
                <wp:wrapTopAndBottom distT="0" distB="0"/>
                <wp:docPr id="1073741836"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37" style="visibility:visible;position:absolute;margin-left:22.5pt;margin-top:17.9pt;width:531.0pt;height:1.0pt;z-index:251668480;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tabs>
          <w:tab w:val="left" w:pos="962"/>
          <w:tab w:val="left" w:pos="964"/>
        </w:tabs>
        <w:spacing w:before="225" w:line="319" w:lineRule="auto"/>
        <w:ind w:right="438"/>
        <w:rPr>
          <w:b w:val="1"/>
          <w:bCs w:val="1"/>
          <w:outline w:val="0"/>
          <w:color w:val="030303"/>
          <w:sz w:val="26"/>
          <w:szCs w:val="26"/>
          <w:u w:color="030303"/>
          <w14:textFill>
            <w14:solidFill>
              <w14:srgbClr w14:val="030303"/>
            </w14:solidFill>
          </w14:textFill>
        </w:rPr>
      </w:pPr>
    </w:p>
    <w:p>
      <w:pPr>
        <w:pStyle w:val="heading 6"/>
        <w:ind w:left="363" w:firstLine="0"/>
        <w:rPr>
          <w:b w:val="1"/>
          <w:bCs w:val="1"/>
          <w:sz w:val="26"/>
          <w:szCs w:val="26"/>
        </w:rPr>
      </w:pPr>
      <w:r>
        <w:rPr>
          <w:b w:val="1"/>
          <w:bCs w:val="1"/>
          <w:outline w:val="0"/>
          <w:color w:val="030303"/>
          <w:sz w:val="26"/>
          <w:szCs w:val="26"/>
          <w:u w:color="030303"/>
          <w:rtl w:val="0"/>
          <w:lang w:val="fr-FR"/>
          <w14:textFill>
            <w14:solidFill>
              <w14:srgbClr w14:val="030303"/>
            </w14:solidFill>
          </w14:textFill>
        </w:rPr>
        <w:t>ARTICLE TWELVE</w:t>
      </w:r>
    </w:p>
    <w:p>
      <w:pPr>
        <w:pStyle w:val="Body"/>
        <w:ind w:left="356"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 xml:space="preserve">The Islamic Distribution Trust </w:t>
      </w:r>
    </w:p>
    <w:p>
      <w:pPr>
        <w:pStyle w:val="Body"/>
        <w:numPr>
          <w:ilvl w:val="0"/>
          <w:numId w:val="10"/>
        </w:numPr>
        <w:bidi w:val="0"/>
        <w:spacing w:before="225" w:line="319" w:lineRule="auto"/>
        <w:ind w:right="438"/>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Application of </w:t>
      </w:r>
      <w:r>
        <w:rPr>
          <w:b w:val="1"/>
          <w:bCs w:val="1"/>
          <w:outline w:val="0"/>
          <w:color w:val="030303"/>
          <w:sz w:val="26"/>
          <w:szCs w:val="26"/>
          <w:u w:color="030303"/>
          <w:rtl w:val="0"/>
          <w:lang w:val="it-IT"/>
          <w14:textFill>
            <w14:solidFill>
              <w14:srgbClr w14:val="030303"/>
            </w14:solidFill>
          </w14:textFill>
        </w:rPr>
        <w:t>Islamic</w:t>
      </w: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 Law of Inheritance: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Upon completion of the administrative period described in Article Nine and satisfaction of all valid specific bequests under Article Ten, the Trustee shall distribute the remaining Deceased Grantor's Trust Property in strict accordance with the Islamic Law </w:t>
      </w:r>
      <w:r>
        <w:rPr>
          <w:outline w:val="0"/>
          <w:color w:val="030303"/>
          <w:sz w:val="26"/>
          <w:szCs w:val="26"/>
          <w:u w:color="030303"/>
          <w:rtl w:val="0"/>
          <w:lang w:val="en-US"/>
          <w14:textFill>
            <w14:solidFill>
              <w14:srgbClr w14:val="030303"/>
            </w14:solidFill>
          </w14:textFill>
        </w:rPr>
        <w:t>of inheritance</w:t>
      </w:r>
      <w:r>
        <w:rPr>
          <w:caps w:val="0"/>
          <w:smallCaps w:val="0"/>
          <w:strike w:val="0"/>
          <w:dstrike w:val="0"/>
          <w:outline w:val="0"/>
          <w:color w:val="2b2b2b"/>
          <w:sz w:val="26"/>
          <w:szCs w:val="26"/>
          <w:u w:val="none" w:color="2b2b2b"/>
          <w:shd w:val="nil" w:color="auto" w:fill="auto"/>
          <w:vertAlign w:val="baseline"/>
          <w:rtl w:val="0"/>
          <w14:textFill>
            <w14:solidFill>
              <w14:srgbClr w14:val="2B2B2B"/>
            </w14:solidFill>
          </w14:textFill>
        </w:rPr>
        <w:t xml:space="preserve">.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The Islamic Law </w:t>
      </w:r>
      <w:r>
        <w:rPr>
          <w:outline w:val="0"/>
          <w:color w:val="030303"/>
          <w:sz w:val="26"/>
          <w:szCs w:val="26"/>
          <w:u w:color="030303"/>
          <w:rtl w:val="0"/>
          <w:lang w:val="en-US"/>
          <w14:textFill>
            <w14:solidFill>
              <w14:srgbClr w14:val="030303"/>
            </w14:solidFill>
          </w14:textFill>
        </w:rPr>
        <w:t>of inheritance</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 shall mean the </w:t>
      </w:r>
      <w:r>
        <w:rPr>
          <w:rFonts w:ascii="Arial" w:hAnsi="Arial"/>
          <w:i w:val="1"/>
          <w:iCs w:val="1"/>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 xml:space="preserve">fara'id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system derived from the Qur'an and authentic Sunnah, as implemented through the calculation methodology embedded in this Trust instrument.</w:t>
      </w:r>
    </w:p>
    <w:p>
      <w:pPr>
        <w:pStyle w:val="Body"/>
        <w:numPr>
          <w:ilvl w:val="0"/>
          <w:numId w:val="57"/>
        </w:numPr>
        <w:bidi w:val="0"/>
        <w:spacing w:before="51" w:line="319" w:lineRule="auto"/>
        <w:ind w:right="576"/>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Identification of Heirs and Recalculation:</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The Trustee shall determine the identity of the Deceased Grantor's surviving Islamic heirs as of the date of death. The fractional shares stated in this Trust shall be recalculated at the time of death based on:</w:t>
      </w:r>
    </w:p>
    <w:p>
      <w:pPr>
        <w:pStyle w:val="Body"/>
        <w:numPr>
          <w:ilvl w:val="1"/>
          <w:numId w:val="57"/>
        </w:numPr>
        <w:bidi w:val="0"/>
        <w:spacing w:before="52"/>
        <w:ind w:right="0"/>
        <w:jc w:val="left"/>
        <w:rPr>
          <w:outline w:val="0"/>
          <w:color w:val="030303"/>
          <w:sz w:val="26"/>
          <w:szCs w:val="26"/>
          <w:rtl w:val="0"/>
          <w:lang w:val="en-US"/>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The heirs then living;</w:t>
      </w:r>
    </w:p>
    <w:p>
      <w:pPr>
        <w:pStyle w:val="Body"/>
        <w:numPr>
          <w:ilvl w:val="1"/>
          <w:numId w:val="57"/>
        </w:numPr>
        <w:bidi w:val="0"/>
        <w:spacing w:before="167"/>
        <w:ind w:right="0"/>
        <w:jc w:val="left"/>
        <w:rPr>
          <w:outline w:val="0"/>
          <w:color w:val="030303"/>
          <w:sz w:val="26"/>
          <w:szCs w:val="26"/>
          <w:rtl w:val="0"/>
          <w:lang w:val="en-US"/>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The exclusion rules applicable under Islamic inheritance law;</w:t>
      </w:r>
    </w:p>
    <w:p>
      <w:pPr>
        <w:pStyle w:val="Body"/>
        <w:numPr>
          <w:ilvl w:val="1"/>
          <w:numId w:val="57"/>
        </w:numPr>
        <w:bidi w:val="0"/>
        <w:spacing w:before="153"/>
        <w:ind w:right="0"/>
        <w:jc w:val="left"/>
        <w:rPr>
          <w:outline w:val="0"/>
          <w:color w:val="030303"/>
          <w:sz w:val="26"/>
          <w:szCs w:val="26"/>
          <w:rtl w:val="0"/>
          <w:lang w:val="en-US"/>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The presence or absence of descendants, ascendants, or spouses;</w:t>
      </w:r>
    </w:p>
    <w:p>
      <w:pPr>
        <w:pStyle w:val="Body"/>
        <w:numPr>
          <w:ilvl w:val="1"/>
          <w:numId w:val="57"/>
        </w:numPr>
        <w:bidi w:val="0"/>
        <w:spacing w:before="162"/>
        <w:ind w:right="0"/>
        <w:jc w:val="left"/>
        <w:rPr>
          <w:outline w:val="0"/>
          <w:color w:val="030303"/>
          <w:sz w:val="26"/>
          <w:szCs w:val="26"/>
          <w:rtl w:val="0"/>
          <w:lang w:val="en-US"/>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The principles of residuary distribution (</w:t>
      </w:r>
      <w:r>
        <w:rPr>
          <w:caps w:val="0"/>
          <w:smallCaps w:val="0"/>
          <w:strike w:val="0"/>
          <w:dstrike w:val="0"/>
          <w:outline w:val="0"/>
          <w:color w:val="000000"/>
          <w:sz w:val="4"/>
          <w:szCs w:val="4"/>
          <w:u w:val="none" w:color="000000"/>
          <w:shd w:val="nil" w:color="auto" w:fill="auto"/>
          <w:vertAlign w:val="baseline"/>
          <w:rtl w:val="0"/>
          <w14:textFill>
            <w14:solidFill>
              <w14:srgbClr w14:val="000000"/>
            </w14:solidFill>
          </w14:textFill>
        </w:rPr>
        <w:t xml:space="preserve">  </w:t>
      </w:r>
      <w:r>
        <w:rPr>
          <w:rFonts w:ascii="Arial" w:hAnsi="Arial"/>
          <w:i w:val="1"/>
          <w:iCs w:val="1"/>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 xml:space="preserve">asabah); </w:t>
      </w:r>
      <w:r>
        <w:rPr>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and</w:t>
      </w:r>
    </w:p>
    <w:p>
      <w:pPr>
        <w:pStyle w:val="Body"/>
        <w:numPr>
          <w:ilvl w:val="1"/>
          <w:numId w:val="57"/>
        </w:numPr>
        <w:bidi w:val="0"/>
        <w:spacing w:before="153"/>
        <w:ind w:right="0"/>
        <w:jc w:val="left"/>
        <w:rPr>
          <w:outline w:val="0"/>
          <w:color w:val="030303"/>
          <w:sz w:val="26"/>
          <w:szCs w:val="26"/>
          <w:rtl w:val="0"/>
          <w:lang w:val="en-US"/>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The application of </w:t>
      </w:r>
      <w:r>
        <w:rPr>
          <w:rFonts w:ascii="Arial" w:hAnsi="Arial"/>
          <w:i w:val="1"/>
          <w:iCs w:val="1"/>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radd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(return) where applicable</w:t>
      </w:r>
      <w:r>
        <w:rPr>
          <w:caps w:val="0"/>
          <w:smallCaps w:val="0"/>
          <w:strike w:val="0"/>
          <w:dstrike w:val="0"/>
          <w:outline w:val="0"/>
          <w:color w:val="2b2b2b"/>
          <w:sz w:val="26"/>
          <w:szCs w:val="26"/>
          <w:u w:val="none" w:color="2b2b2b"/>
          <w:shd w:val="nil" w:color="auto" w:fill="auto"/>
          <w:vertAlign w:val="baseline"/>
          <w:rtl w:val="0"/>
          <w14:textFill>
            <w14:solidFill>
              <w14:srgbClr w14:val="2B2B2B"/>
            </w14:solidFill>
          </w14:textFill>
        </w:rPr>
        <w:t>.</w:t>
      </w:r>
    </w:p>
    <w:p>
      <w:pPr>
        <w:pStyle w:val="Body"/>
        <w:spacing w:before="153" w:line="319" w:lineRule="auto"/>
        <w:ind w:left="962" w:right="497" w:firstLine="2"/>
        <w:rPr>
          <w:outline w:val="0"/>
          <w:color w:val="030303"/>
          <w:sz w:val="26"/>
          <w:szCs w:val="26"/>
          <w:u w:color="030303"/>
          <w14:textFill>
            <w14:solidFill>
              <w14:srgbClr w14:val="030303"/>
            </w14:solidFill>
          </w14:textFill>
        </w:rPr>
      </w:pPr>
      <w:r>
        <w:rPr>
          <w:outline w:val="0"/>
          <w:color w:val="030303"/>
          <w:sz w:val="26"/>
          <w:szCs w:val="26"/>
          <w:u w:color="030303"/>
          <w:rtl w:val="0"/>
          <w:lang w:val="en-US"/>
          <w14:textFill>
            <w14:solidFill>
              <w14:srgbClr w14:val="030303"/>
            </w14:solidFill>
          </w14:textFill>
        </w:rPr>
        <w:t xml:space="preserve">Any fractional shares listed in this Trust are illustrative of the expected calculation based on the Grantors' family circumstances at execution and shall be superseded by the recalculated shares </w:t>
      </w:r>
    </w:p>
    <w:p>
      <w:pPr>
        <w:pStyle w:val="Body"/>
        <w:spacing w:before="153" w:line="319" w:lineRule="auto"/>
        <w:ind w:left="962" w:right="497" w:firstLine="0"/>
        <w:rPr>
          <w:sz w:val="26"/>
          <w:szCs w:val="26"/>
        </w:rPr>
      </w:pPr>
      <w:r>
        <w:rPr>
          <w:outline w:val="0"/>
          <w:color w:val="030303"/>
          <w:sz w:val="26"/>
          <w:szCs w:val="26"/>
          <w:u w:color="030303"/>
          <w:rtl w:val="0"/>
          <w:lang w:val="en-US"/>
          <w14:textFill>
            <w14:solidFill>
              <w14:srgbClr w14:val="030303"/>
            </w14:solidFill>
          </w14:textFill>
        </w:rPr>
        <w:t>at death.</w:t>
      </w:r>
    </w:p>
    <w:p>
      <w:pPr>
        <w:pStyle w:val="heading 5"/>
      </w:pPr>
      <w:r>
        <w:rPr>
          <w:sz w:val="26"/>
          <w:szCs w:val="26"/>
          <w:rtl w:val="0"/>
          <w:lang w:val="en-US"/>
        </w:rPr>
        <w:t>Husband Heirs</w:t>
      </w:r>
    </w:p>
    <w:tbl>
      <w:tblPr>
        <w:tblW w:w="11018" w:type="dxa"/>
        <w:jc w:val="left"/>
        <w:tblInd w:w="6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73"/>
        <w:gridCol w:w="3673"/>
        <w:gridCol w:w="3672"/>
      </w:tblGrid>
      <w:tr>
        <w:tblPrEx>
          <w:shd w:val="clear" w:color="auto" w:fill="ced7e7"/>
        </w:tblPrEx>
        <w:trPr>
          <w:trHeight w:val="310" w:hRule="atLeast"/>
        </w:trPr>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Name</w:t>
            </w:r>
          </w:p>
        </w:tc>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Relationship</w:t>
            </w:r>
          </w:p>
        </w:tc>
        <w:tc>
          <w:tcPr>
            <w:tcW w:type="dxa" w:w="36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Share</w:t>
            </w:r>
          </w:p>
        </w:tc>
      </w:tr>
      <w:tr>
        <w:tblPrEx>
          <w:shd w:val="clear" w:color="auto" w:fill="ced7e7"/>
        </w:tblPrEx>
        <w:trPr>
          <w:trHeight w:val="251" w:hRule="atLeast"/>
        </w:trPr>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{#husbandHeirs}{heirName}</w:t>
            </w:r>
          </w:p>
        </w:tc>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{heirRelationship}</w:t>
            </w:r>
          </w:p>
        </w:tc>
        <w:tc>
          <w:tcPr>
            <w:tcW w:type="dxa" w:w="36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{heirShare}{/husbandHeirs}</w:t>
            </w:r>
          </w:p>
        </w:tc>
      </w:tr>
    </w:tbl>
    <w:p>
      <w:pPr>
        <w:pStyle w:val="Body"/>
        <w:tabs>
          <w:tab w:val="left" w:pos="5270"/>
        </w:tabs>
        <w:spacing w:before="123"/>
        <w:ind w:left="501" w:hanging="501"/>
      </w:pPr>
    </w:p>
    <w:p>
      <w:pPr>
        <w:pStyle w:val="Body"/>
      </w:pPr>
    </w:p>
    <w:p>
      <w:pPr>
        <w:pStyle w:val="heading 5"/>
      </w:pPr>
      <w:r>
        <w:rPr>
          <w:sz w:val="26"/>
          <w:szCs w:val="26"/>
          <w:rtl w:val="0"/>
          <w:lang w:val="en-US"/>
        </w:rPr>
        <w:t>Wife Heirs</w:t>
      </w:r>
    </w:p>
    <w:tbl>
      <w:tblPr>
        <w:tblW w:w="11018" w:type="dxa"/>
        <w:jc w:val="left"/>
        <w:tblInd w:w="6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73"/>
        <w:gridCol w:w="3673"/>
        <w:gridCol w:w="3672"/>
      </w:tblGrid>
      <w:tr>
        <w:tblPrEx>
          <w:shd w:val="clear" w:color="auto" w:fill="ced7e7"/>
        </w:tblPrEx>
        <w:trPr>
          <w:trHeight w:val="310" w:hRule="atLeast"/>
        </w:trPr>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Name</w:t>
            </w:r>
          </w:p>
        </w:tc>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Relationship</w:t>
            </w:r>
          </w:p>
        </w:tc>
        <w:tc>
          <w:tcPr>
            <w:tcW w:type="dxa" w:w="36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Share</w:t>
            </w:r>
          </w:p>
        </w:tc>
      </w:tr>
      <w:tr>
        <w:tblPrEx>
          <w:shd w:val="clear" w:color="auto" w:fill="ced7e7"/>
        </w:tblPrEx>
        <w:trPr>
          <w:trHeight w:val="251" w:hRule="atLeast"/>
        </w:trPr>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{#wifeHeirs}{heirName}</w:t>
            </w:r>
          </w:p>
        </w:tc>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{heirRelationship}</w:t>
            </w:r>
          </w:p>
        </w:tc>
        <w:tc>
          <w:tcPr>
            <w:tcW w:type="dxa" w:w="36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{heirShare}{/wifeHeirs}</w:t>
            </w:r>
          </w:p>
        </w:tc>
      </w:tr>
    </w:tbl>
    <w:p>
      <w:pPr>
        <w:pStyle w:val="Body"/>
        <w:tabs>
          <w:tab w:val="left" w:pos="5270"/>
        </w:tabs>
        <w:spacing w:before="123"/>
        <w:ind w:left="501" w:hanging="501"/>
      </w:pPr>
    </w:p>
    <w:p>
      <w:pPr>
        <w:pStyle w:val="Body"/>
        <w:spacing w:before="153" w:line="319" w:lineRule="auto"/>
        <w:ind w:right="497"/>
        <w:rPr>
          <w:sz w:val="26"/>
          <w:szCs w:val="26"/>
        </w:rPr>
      </w:pPr>
    </w:p>
    <w:p>
      <w:pPr>
        <w:pStyle w:val="Body"/>
        <w:spacing w:before="153" w:line="319" w:lineRule="auto"/>
        <w:ind w:left="962" w:right="497" w:firstLine="2"/>
        <w:rPr>
          <w:rFonts w:ascii="Arial" w:cs="Arial" w:hAnsi="Arial" w:eastAsia="Arial"/>
          <w:i w:val="1"/>
          <w:iCs w:val="1"/>
          <w:sz w:val="24"/>
          <w:szCs w:val="24"/>
        </w:rPr>
      </w:pPr>
      <w:r>
        <w:rPr>
          <w:rFonts w:ascii="Arial" w:hAnsi="Arial"/>
          <w:i w:val="1"/>
          <w:iCs w:val="1"/>
          <w:outline w:val="0"/>
          <w:color w:val="030303"/>
          <w:sz w:val="24"/>
          <w:szCs w:val="24"/>
          <w:u w:color="030303"/>
          <w:rtl w:val="0"/>
          <w:lang w:val="en-US"/>
          <w14:textFill>
            <w14:solidFill>
              <w14:srgbClr w14:val="030303"/>
            </w14:solidFill>
          </w14:textFill>
        </w:rPr>
        <w:t xml:space="preserve">Note to Trustee: The fractional shares shown above are calculated based on the Grantors' family circumstances at the time this Trust was executed. These shares must be recalculated as </w:t>
      </w:r>
      <w:r>
        <w:rPr>
          <w:outline w:val="0"/>
          <w:color w:val="030303"/>
          <w:sz w:val="26"/>
          <w:szCs w:val="26"/>
          <w:u w:color="030303"/>
          <w:rtl w:val="0"/>
          <w:lang w:val="en-US"/>
          <w14:textFill>
            <w14:solidFill>
              <w14:srgbClr w14:val="030303"/>
            </w14:solidFill>
          </w14:textFill>
        </w:rPr>
        <w:t xml:space="preserve">of </w:t>
      </w:r>
      <w:r>
        <w:rPr>
          <w:rFonts w:ascii="Arial" w:hAnsi="Arial"/>
          <w:i w:val="1"/>
          <w:iCs w:val="1"/>
          <w:outline w:val="0"/>
          <w:color w:val="030303"/>
          <w:sz w:val="24"/>
          <w:szCs w:val="24"/>
          <w:u w:color="030303"/>
          <w:rtl w:val="0"/>
          <w:lang w:val="en-US"/>
          <w14:textFill>
            <w14:solidFill>
              <w14:srgbClr w14:val="030303"/>
            </w14:solidFill>
          </w14:textFill>
        </w:rPr>
        <w:t xml:space="preserve">the date </w:t>
      </w:r>
      <w:r>
        <w:rPr>
          <w:outline w:val="0"/>
          <w:color w:val="030303"/>
          <w:sz w:val="26"/>
          <w:szCs w:val="26"/>
          <w:u w:color="030303"/>
          <w:rtl w:val="0"/>
          <w:lang w:val="en-US"/>
          <w14:textFill>
            <w14:solidFill>
              <w14:srgbClr w14:val="030303"/>
            </w14:solidFill>
          </w14:textFill>
        </w:rPr>
        <w:t xml:space="preserve">of </w:t>
      </w:r>
      <w:r>
        <w:rPr>
          <w:rFonts w:ascii="Arial" w:hAnsi="Arial"/>
          <w:i w:val="1"/>
          <w:iCs w:val="1"/>
          <w:outline w:val="0"/>
          <w:color w:val="030303"/>
          <w:sz w:val="24"/>
          <w:szCs w:val="24"/>
          <w:u w:color="030303"/>
          <w:rtl w:val="0"/>
          <w:lang w:val="en-US"/>
          <w14:textFill>
            <w14:solidFill>
              <w14:srgbClr w14:val="030303"/>
            </w14:solidFill>
          </w14:textFill>
        </w:rPr>
        <w:t xml:space="preserve">each Grantor's death in accordance with Article Twelve and Schedule B, as the identity and eligibility </w:t>
      </w:r>
      <w:r>
        <w:rPr>
          <w:outline w:val="0"/>
          <w:color w:val="030303"/>
          <w:sz w:val="26"/>
          <w:szCs w:val="26"/>
          <w:u w:color="030303"/>
          <w:rtl w:val="0"/>
          <w:lang w:val="en-US"/>
          <w14:textFill>
            <w14:solidFill>
              <w14:srgbClr w14:val="030303"/>
            </w14:solidFill>
          </w14:textFill>
        </w:rPr>
        <w:t xml:space="preserve">of </w:t>
      </w:r>
      <w:r>
        <w:rPr>
          <w:rFonts w:ascii="Arial" w:hAnsi="Arial"/>
          <w:i w:val="1"/>
          <w:iCs w:val="1"/>
          <w:outline w:val="0"/>
          <w:color w:val="030303"/>
          <w:sz w:val="24"/>
          <w:szCs w:val="24"/>
          <w:u w:color="030303"/>
          <w:rtl w:val="0"/>
          <w:lang w:val="en-US"/>
          <w14:textFill>
            <w14:solidFill>
              <w14:srgbClr w14:val="030303"/>
            </w14:solidFill>
          </w14:textFill>
        </w:rPr>
        <w:t>heirs may have changed.</w:t>
      </w:r>
    </w:p>
    <w:p>
      <w:pPr>
        <w:pStyle w:val="Body"/>
        <w:numPr>
          <w:ilvl w:val="0"/>
          <w:numId w:val="9"/>
        </w:numPr>
        <w:bidi w:val="0"/>
        <w:spacing w:before="37" w:line="306" w:lineRule="auto"/>
        <w:ind w:right="484"/>
        <w:jc w:val="both"/>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Distribution to Adult Beneficiaries:</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Any beneficiary who has attained the age selected by the Grantors in the minor distribution provisions of this Trust shall receive his or her share outright.</w:t>
      </w:r>
    </w:p>
    <w:p>
      <w:pPr>
        <w:pStyle w:val="Body"/>
        <w:numPr>
          <w:ilvl w:val="0"/>
          <w:numId w:val="9"/>
        </w:numPr>
        <w:bidi w:val="0"/>
        <w:spacing w:before="52" w:line="306" w:lineRule="auto"/>
        <w:ind w:right="494"/>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Distribution to Minor Beneficiaries:</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beneficiary entitled to receive a share under this Article has not attained the age selected by the Grantors for outright distribution, that beneficiary's share shall be held in a separate trust for that beneficiary. The Trustee shall administer each such trust in accordance with the minor distribution provisions contained in Article Thirteen.</w:t>
      </w:r>
    </w:p>
    <w:p>
      <w:pPr>
        <w:pStyle w:val="Body"/>
        <w:numPr>
          <w:ilvl w:val="0"/>
          <w:numId w:val="7"/>
        </w:numPr>
        <w:bidi w:val="0"/>
        <w:spacing w:before="56" w:line="306" w:lineRule="auto"/>
        <w:ind w:right="48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Failure or Lapse: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any person otherwise entitled to inherit under this Article predeceases the Deceased Grantor, that person's share shall be recalculated and redistributed among the remaining heirs in accordance with the Islamic Law of Inheritance.</w:t>
      </w:r>
    </w:p>
    <w:p>
      <w:pPr>
        <w:pStyle w:val="Body"/>
        <w:spacing w:before="116"/>
        <w:rPr>
          <w:sz w:val="20"/>
          <w:szCs w:val="20"/>
        </w:rPr>
      </w:pPr>
      <w:r>
        <mc:AlternateContent>
          <mc:Choice Requires="wps">
            <w:drawing xmlns:a="http://schemas.openxmlformats.org/drawingml/2006/main">
              <wp:anchor distT="0" distB="0" distL="0" distR="0" simplePos="0" relativeHeight="251669504" behindDoc="0" locked="0" layoutInCell="1" allowOverlap="1">
                <wp:simplePos x="0" y="0"/>
                <wp:positionH relativeFrom="column">
                  <wp:posOffset>285750</wp:posOffset>
                </wp:positionH>
                <wp:positionV relativeFrom="line">
                  <wp:posOffset>227069</wp:posOffset>
                </wp:positionV>
                <wp:extent cx="6743700" cy="12700"/>
                <wp:effectExtent l="0" t="0" r="0" b="0"/>
                <wp:wrapTopAndBottom distT="0" distB="0"/>
                <wp:docPr id="1073741837"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38" style="visibility:visible;position:absolute;margin-left:22.5pt;margin-top:17.9pt;width:531.0pt;height:1.0pt;z-index:251669504;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tabs>
          <w:tab w:val="left" w:pos="960"/>
          <w:tab w:val="left" w:pos="964"/>
        </w:tabs>
        <w:spacing w:before="56" w:line="306" w:lineRule="auto"/>
        <w:ind w:right="489"/>
        <w:rPr>
          <w:outline w:val="0"/>
          <w:color w:val="030303"/>
          <w:sz w:val="27"/>
          <w:szCs w:val="27"/>
          <w:u w:color="030303"/>
          <w14:textFill>
            <w14:solidFill>
              <w14:srgbClr w14:val="030303"/>
            </w14:solidFill>
          </w14:textFill>
        </w:rPr>
      </w:pPr>
    </w:p>
    <w:p>
      <w:pPr>
        <w:pStyle w:val="heading 6"/>
        <w:ind w:firstLine="363"/>
      </w:pPr>
      <w:r>
        <w:rPr>
          <w:outline w:val="0"/>
          <w:color w:val="030303"/>
          <w:u w:color="030303"/>
          <w:rtl w:val="0"/>
          <w:lang w:val="en-US"/>
          <w14:textFill>
            <w14:solidFill>
              <w14:srgbClr w14:val="030303"/>
            </w14:solidFill>
          </w14:textFill>
        </w:rPr>
        <w:t>ARTICLE THIRTEEN</w:t>
      </w:r>
    </w:p>
    <w:p>
      <w:pPr>
        <w:pStyle w:val="Body"/>
        <w:ind w:left="363"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Administration of Shares for Minor or Incapacitated Beneficiaries</w:t>
      </w:r>
    </w:p>
    <w:p>
      <w:pPr>
        <w:pStyle w:val="Body"/>
        <w:numPr>
          <w:ilvl w:val="0"/>
          <w:numId w:val="37"/>
        </w:numPr>
        <w:bidi w:val="0"/>
        <w:spacing w:before="221" w:line="304" w:lineRule="auto"/>
        <w:ind w:right="510"/>
        <w:jc w:val="left"/>
        <w:rPr>
          <w:outline w:val="0"/>
          <w:color w:val="030303"/>
          <w:sz w:val="26"/>
          <w:szCs w:val="26"/>
          <w:rtl w:val="0"/>
          <w:lang w:val="de-DE"/>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de-DE"/>
          <w14:textFill>
            <w14:solidFill>
              <w14:srgbClr w14:val="030303"/>
            </w14:solidFill>
          </w14:textFill>
        </w:rPr>
        <w:t xml:space="preserve">General Rule: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any beneficiary entitled to receive a distribution under Article Twelve has not attained the age designated for outright distribution under this Article at the time of distribution, that beneficiary's share shall be held in a separate trust for that beneficiary. Each beneficiary's trust shall be administered independently.</w:t>
      </w:r>
    </w:p>
    <w:p>
      <w:pPr>
        <w:pStyle w:val="Body"/>
        <w:numPr>
          <w:ilvl w:val="0"/>
          <w:numId w:val="12"/>
        </w:numPr>
        <w:bidi w:val="0"/>
        <w:spacing w:before="76" w:line="304" w:lineRule="auto"/>
        <w:ind w:right="50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Trustee Authority During Minority: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Until final distribution, the Trustee may distribute as much of the income and principal of the beneficiary's trust as the Trustee determines advisable for the beneficiary's health, education, maintenance, and support. Any undistributed income shall be added to principal. The Trustee may make distributions:</w:t>
      </w:r>
    </w:p>
    <w:p>
      <w:pPr>
        <w:pStyle w:val="Body"/>
        <w:numPr>
          <w:ilvl w:val="1"/>
          <w:numId w:val="58"/>
        </w:numPr>
        <w:bidi w:val="0"/>
        <w:spacing w:before="5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Directly to the beneficiary;</w:t>
      </w:r>
    </w:p>
    <w:p>
      <w:pPr>
        <w:pStyle w:val="Body"/>
        <w:numPr>
          <w:ilvl w:val="1"/>
          <w:numId w:val="12"/>
        </w:numPr>
        <w:bidi w:val="0"/>
        <w:spacing w:before="15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To a parent, guardian, or conservator;</w:t>
      </w:r>
    </w:p>
    <w:p>
      <w:pPr>
        <w:pStyle w:val="Body"/>
        <w:numPr>
          <w:ilvl w:val="1"/>
          <w:numId w:val="12"/>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To a person or entity providing goods or services for the beneficiary's benefit; or</w:t>
      </w:r>
    </w:p>
    <w:p>
      <w:pPr>
        <w:pStyle w:val="Body"/>
        <w:numPr>
          <w:ilvl w:val="1"/>
          <w:numId w:val="59"/>
        </w:numPr>
        <w:bidi w:val="0"/>
        <w:spacing w:before="62"/>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In any lawful manner the Trustee determines appropriate.</w:t>
      </w:r>
    </w:p>
    <w:p>
      <w:pPr>
        <w:pStyle w:val="Body"/>
      </w:pPr>
      <w:r>
        <w:rPr>
          <w:rtl w:val="0"/>
          <w:lang w:val="fr-FR"/>
        </w:rPr>
        <w:t>{#distribution}</w:t>
      </w:r>
    </w:p>
    <w:p>
      <w:pPr>
        <w:pStyle w:val="Body"/>
        <w:ind w:firstLine="720"/>
      </w:pPr>
      <w:r>
        <w:rPr>
          <w:rtl w:val="0"/>
          <w:lang w:val="it-IT"/>
        </w:rPr>
        <w:t>{#mode === 'staggered'}</w:t>
      </w:r>
    </w:p>
    <w:p>
      <w:pPr>
        <w:pStyle w:val="Body"/>
        <w:spacing w:line="302" w:lineRule="auto"/>
        <w:ind w:left="962"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00000"/>
          <w:sz w:val="27"/>
          <w:szCs w:val="27"/>
          <w:u w:val="none" w:color="000000"/>
          <w:shd w:val="nil" w:color="auto" w:fill="auto"/>
          <w:vertAlign w:val="baseline"/>
          <w:rtl w:val="0"/>
          <w:lang w:val="en-US"/>
          <w14:textFill>
            <w14:solidFill>
              <w14:srgbClr w14:val="000000"/>
            </w14:solidFill>
          </w14:textFill>
        </w:rPr>
        <w:t>The beneficiary shall receive:</w:t>
      </w:r>
    </w:p>
    <w:p>
      <w:pPr>
        <w:pStyle w:val="Body"/>
        <w:numPr>
          <w:ilvl w:val="1"/>
          <w:numId w:val="60"/>
        </w:numPr>
        <w:bidi w:val="0"/>
        <w:spacing w:before="165"/>
        <w:ind w:right="0"/>
        <w:jc w:val="left"/>
        <w:rPr>
          <w:outline w:val="0"/>
          <w:color w:val="030303"/>
          <w:sz w:val="26"/>
          <w:szCs w:val="26"/>
          <w:rtl w:val="0"/>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{firstPercent}% of the trust property at age {firstAge};</w:t>
      </w:r>
    </w:p>
    <w:p>
      <w:pPr>
        <w:pStyle w:val="Body"/>
        <w:numPr>
          <w:ilvl w:val="1"/>
          <w:numId w:val="60"/>
        </w:numPr>
        <w:bidi w:val="0"/>
        <w:spacing w:before="143"/>
        <w:ind w:right="0"/>
        <w:jc w:val="left"/>
        <w:rPr>
          <w:outline w:val="0"/>
          <w:color w:val="030303"/>
          <w:sz w:val="26"/>
          <w:szCs w:val="26"/>
          <w:rtl w:val="0"/>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{secondPercent}% of the trust property at age {secondAge}; and</w:t>
      </w:r>
    </w:p>
    <w:p>
      <w:pPr>
        <w:pStyle w:val="Body"/>
        <w:numPr>
          <w:ilvl w:val="1"/>
          <w:numId w:val="12"/>
        </w:numPr>
        <w:bidi w:val="0"/>
        <w:spacing w:before="142"/>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remaining balance at age {remainderAge}.</w:t>
      </w:r>
    </w:p>
    <w:p>
      <w:pPr>
        <w:pStyle w:val="Body"/>
        <w:tabs>
          <w:tab w:val="left" w:pos="1559"/>
        </w:tabs>
        <w:spacing w:before="142"/>
        <w:rPr>
          <w:outline w:val="0"/>
          <w:color w:val="030303"/>
          <w:sz w:val="27"/>
          <w:szCs w:val="27"/>
          <w:u w:color="030303"/>
          <w14:textFill>
            <w14:solidFill>
              <w14:srgbClr w14:val="030303"/>
            </w14:solidFill>
          </w14:textFill>
        </w:rPr>
      </w:pPr>
      <w:r>
        <w:rPr>
          <w:outline w:val="0"/>
          <w:color w:val="030303"/>
          <w:sz w:val="27"/>
          <w:szCs w:val="27"/>
          <w:u w:color="030303"/>
          <w:rtl w:val="0"/>
          <w:lang w:val="it-IT"/>
          <w14:textFill>
            <w14:solidFill>
              <w14:srgbClr w14:val="030303"/>
            </w14:solidFill>
          </w14:textFill>
        </w:rPr>
        <w:t>{/mode === 'staggered'}</w:t>
      </w:r>
    </w:p>
    <w:p>
      <w:pPr>
        <w:pStyle w:val="Body"/>
        <w:tabs>
          <w:tab w:val="left" w:pos="1559"/>
        </w:tabs>
        <w:spacing w:before="142"/>
        <w:rPr>
          <w:outline w:val="0"/>
          <w:color w:val="030303"/>
          <w:sz w:val="27"/>
          <w:szCs w:val="27"/>
          <w:u w:color="030303"/>
          <w14:textFill>
            <w14:solidFill>
              <w14:srgbClr w14:val="030303"/>
            </w14:solidFill>
          </w14:textFill>
        </w:rPr>
      </w:pPr>
      <w:r>
        <w:rPr>
          <w:outline w:val="0"/>
          <w:color w:val="030303"/>
          <w:sz w:val="27"/>
          <w:szCs w:val="27"/>
          <w:u w:color="030303"/>
          <w:rtl w:val="0"/>
          <w14:textFill>
            <w14:solidFill>
              <w14:srgbClr w14:val="030303"/>
            </w14:solidFill>
          </w14:textFill>
        </w:rPr>
        <w:t>{#mode === 'single-age'}</w:t>
      </w:r>
    </w:p>
    <w:p>
      <w:pPr>
        <w:pStyle w:val="Body"/>
        <w:ind w:firstLine="720"/>
        <w:rPr>
          <w:outline w:val="0"/>
          <w:color w:val="030303"/>
          <w:sz w:val="27"/>
          <w:szCs w:val="27"/>
          <w:u w:color="030303"/>
          <w14:textFill>
            <w14:solidFill>
              <w14:srgbClr w14:val="030303"/>
            </w14:solidFill>
          </w14:textFill>
        </w:rPr>
      </w:pPr>
      <w:r>
        <w:rPr>
          <w:sz w:val="27"/>
          <w:szCs w:val="27"/>
          <w:rtl w:val="0"/>
          <w:lang w:val="en-US"/>
        </w:rPr>
        <w:t>The beneficiary shall receive the entire remaining trust property outright upon reaching age {singleDistributionAge}, not to exceed age 30.</w:t>
      </w:r>
    </w:p>
    <w:p>
      <w:pPr>
        <w:pStyle w:val="Body"/>
        <w:tabs>
          <w:tab w:val="left" w:pos="1559"/>
        </w:tabs>
        <w:spacing w:before="142"/>
        <w:rPr>
          <w:outline w:val="0"/>
          <w:color w:val="030303"/>
          <w:sz w:val="27"/>
          <w:szCs w:val="27"/>
          <w:u w:color="030303"/>
          <w14:textFill>
            <w14:solidFill>
              <w14:srgbClr w14:val="030303"/>
            </w14:solidFill>
          </w14:textFill>
        </w:rPr>
      </w:pPr>
      <w:r>
        <w:rPr>
          <w:outline w:val="0"/>
          <w:color w:val="030303"/>
          <w:sz w:val="27"/>
          <w:szCs w:val="27"/>
          <w:u w:color="030303"/>
          <w:rtl w:val="0"/>
          <w14:textFill>
            <w14:solidFill>
              <w14:srgbClr w14:val="030303"/>
            </w14:solidFill>
          </w14:textFill>
        </w:rPr>
        <w:t>{/mode === 'single-age'}</w:t>
      </w:r>
    </w:p>
    <w:p>
      <w:pPr>
        <w:pStyle w:val="Body"/>
      </w:pPr>
      <w:r>
        <w:rPr>
          <w:rtl w:val="0"/>
        </w:rPr>
        <w:t>{#mode === 'age-of-majority'}</w:t>
      </w:r>
    </w:p>
    <w:p>
      <w:pPr>
        <w:pStyle w:val="Body"/>
        <w:tabs>
          <w:tab w:val="left" w:pos="5988"/>
          <w:tab w:val="left" w:pos="9012"/>
          <w:tab w:val="left" w:pos="10154"/>
        </w:tabs>
        <w:spacing w:before="155" w:line="306" w:lineRule="auto"/>
        <w:ind w:left="961" w:right="406" w:hanging="2"/>
        <w:rPr>
          <w:sz w:val="27"/>
          <w:szCs w:val="27"/>
        </w:rPr>
      </w:pPr>
      <w:r>
        <w:rPr>
          <w:sz w:val="27"/>
          <w:szCs w:val="27"/>
          <w:rtl w:val="0"/>
          <w:lang w:val="en-US"/>
        </w:rPr>
        <w:t>The Trustee shall distribute the beneficiary's remaining trust property when the Trustee determines that the beneficiary has reached maturity (rushd), meaning:</w:t>
      </w:r>
    </w:p>
    <w:p>
      <w:pPr>
        <w:pStyle w:val="Body"/>
        <w:numPr>
          <w:ilvl w:val="1"/>
          <w:numId w:val="12"/>
        </w:numPr>
        <w:bidi w:val="0"/>
        <w:spacing w:before="48"/>
        <w:ind w:right="0"/>
        <w:jc w:val="left"/>
        <w:rPr>
          <w:outline w:val="0"/>
          <w:color w:val="030303"/>
          <w:sz w:val="27"/>
          <w:szCs w:val="27"/>
          <w:rtl w:val="0"/>
          <w:lang w:val="en-US"/>
          <w14:textFill>
            <w14:solidFill>
              <w14:srgbClr w14:val="030303"/>
            </w14:solidFill>
          </w14:textFill>
        </w:rPr>
      </w:pPr>
      <w:r>
        <w:rPr>
          <w:outline w:val="0"/>
          <w:color w:val="030303"/>
          <w:sz w:val="27"/>
          <w:szCs w:val="27"/>
          <w:u w:color="030303"/>
          <w:rtl w:val="0"/>
          <w:lang w:val="en-US"/>
          <w14:textFill>
            <w14:solidFill>
              <w14:srgbClr w14:val="030303"/>
            </w14:solidFill>
          </w14:textFill>
        </w:rPr>
        <w:t>The beneficiary has attained puberty; and</w:t>
      </w:r>
    </w:p>
    <w:p>
      <w:pPr>
        <w:pStyle w:val="Body"/>
        <w:numPr>
          <w:ilvl w:val="1"/>
          <w:numId w:val="61"/>
        </w:numPr>
        <w:bidi w:val="0"/>
        <w:spacing w:before="155" w:line="304" w:lineRule="auto"/>
        <w:ind w:right="781"/>
        <w:jc w:val="left"/>
        <w:rPr>
          <w:outline w:val="0"/>
          <w:color w:val="030303"/>
          <w:sz w:val="27"/>
          <w:szCs w:val="27"/>
          <w:rtl w:val="0"/>
          <w:lang w:val="en-US"/>
          <w14:textFill>
            <w14:solidFill>
              <w14:srgbClr w14:val="030303"/>
            </w14:solidFill>
          </w14:textFill>
        </w:rPr>
      </w:pPr>
      <w:r>
        <w:rPr>
          <w:outline w:val="0"/>
          <w:color w:val="030303"/>
          <w:sz w:val="27"/>
          <w:szCs w:val="27"/>
          <w:u w:color="030303"/>
          <w:rtl w:val="0"/>
          <w:lang w:val="en-US"/>
          <w14:textFill>
            <w14:solidFill>
              <w14:srgbClr w14:val="030303"/>
            </w14:solidFill>
          </w14:textFill>
        </w:rPr>
        <w:t>The beneficiary demonstrates sound judgment, responsibility in financial matters, and the ability to manage property prudently.</w:t>
      </w:r>
    </w:p>
    <w:p>
      <w:pPr>
        <w:pStyle w:val="Body"/>
        <w:spacing w:before="67" w:line="304" w:lineRule="auto"/>
        <w:ind w:left="958" w:right="362" w:firstLine="0"/>
        <w:rPr>
          <w:sz w:val="25"/>
          <w:szCs w:val="25"/>
        </w:rPr>
      </w:pPr>
      <w:r>
        <w:rPr>
          <w:outline w:val="0"/>
          <w:color w:val="030303"/>
          <w:sz w:val="27"/>
          <w:szCs w:val="27"/>
          <w:u w:color="030303"/>
          <w:rtl w:val="0"/>
          <w:lang w:val="en-US"/>
          <w14:textFill>
            <w14:solidFill>
              <w14:srgbClr w14:val="030303"/>
            </w14:solidFill>
          </w14:textFill>
        </w:rPr>
        <w:t xml:space="preserve">In making this determination, the Trustee may consider the beneficiary's ability to manage prior distributions, financial decision-making, religious and personal responsibility, and general maturity and conduct. </w:t>
      </w:r>
      <w:r>
        <w:rPr>
          <w:outline w:val="0"/>
          <w:color w:val="030303"/>
          <w:sz w:val="26"/>
          <w:szCs w:val="26"/>
          <w:u w:color="030303"/>
          <w:rtl w:val="0"/>
          <w:lang w:val="en-US"/>
          <w14:textFill>
            <w14:solidFill>
              <w14:srgbClr w14:val="030303"/>
            </w14:solidFill>
          </w14:textFill>
        </w:rPr>
        <w:t xml:space="preserve">If </w:t>
      </w:r>
      <w:r>
        <w:rPr>
          <w:outline w:val="0"/>
          <w:color w:val="030303"/>
          <w:sz w:val="27"/>
          <w:szCs w:val="27"/>
          <w:u w:color="030303"/>
          <w:rtl w:val="0"/>
          <w:lang w:val="en-US"/>
          <w14:textFill>
            <w14:solidFill>
              <w14:srgbClr w14:val="030303"/>
            </w14:solidFill>
          </w14:textFill>
        </w:rPr>
        <w:t xml:space="preserve">the Trustee has not determined that the beneficiary has demonstrated </w:t>
      </w:r>
      <w:r>
        <w:rPr>
          <w:rFonts w:ascii="Arial" w:hAnsi="Arial"/>
          <w:i w:val="1"/>
          <w:iCs w:val="1"/>
          <w:outline w:val="0"/>
          <w:color w:val="030303"/>
          <w:sz w:val="24"/>
          <w:szCs w:val="24"/>
          <w:u w:color="030303"/>
          <w:rtl w:val="0"/>
          <w:lang w:val="en-US"/>
          <w14:textFill>
            <w14:solidFill>
              <w14:srgbClr w14:val="030303"/>
            </w14:solidFill>
          </w14:textFill>
        </w:rPr>
        <w:t xml:space="preserve">rushd </w:t>
      </w:r>
      <w:r>
        <w:rPr>
          <w:outline w:val="0"/>
          <w:color w:val="030303"/>
          <w:sz w:val="27"/>
          <w:szCs w:val="27"/>
          <w:u w:color="030303"/>
          <w:rtl w:val="0"/>
          <w:lang w:val="en-US"/>
          <w14:textFill>
            <w14:solidFill>
              <w14:srgbClr w14:val="030303"/>
            </w14:solidFill>
          </w14:textFill>
        </w:rPr>
        <w:t xml:space="preserve">by age </w:t>
      </w:r>
      <w:r>
        <w:rPr>
          <w:outline w:val="0"/>
          <w:color w:val="030303"/>
          <w:sz w:val="25"/>
          <w:szCs w:val="25"/>
          <w:u w:color="030303"/>
          <w:rtl w:val="0"/>
          <w:lang w:val="ru-RU"/>
          <w14:textFill>
            <w14:solidFill>
              <w14:srgbClr w14:val="030303"/>
            </w14:solidFill>
          </w14:textFill>
        </w:rPr>
        <w:t xml:space="preserve">30, </w:t>
      </w:r>
      <w:r>
        <w:rPr>
          <w:outline w:val="0"/>
          <w:color w:val="030303"/>
          <w:sz w:val="27"/>
          <w:szCs w:val="27"/>
          <w:u w:color="030303"/>
          <w:rtl w:val="0"/>
          <w:lang w:val="en-US"/>
          <w14:textFill>
            <w14:solidFill>
              <w14:srgbClr w14:val="030303"/>
            </w14:solidFill>
          </w14:textFill>
        </w:rPr>
        <w:t xml:space="preserve">the remaining trust property shall be distributed outright at age </w:t>
      </w:r>
      <w:r>
        <w:rPr>
          <w:outline w:val="0"/>
          <w:color w:val="030303"/>
          <w:sz w:val="25"/>
          <w:szCs w:val="25"/>
          <w:u w:color="030303"/>
          <w:rtl w:val="0"/>
          <w14:textFill>
            <w14:solidFill>
              <w14:srgbClr w14:val="030303"/>
            </w14:solidFill>
          </w14:textFill>
        </w:rPr>
        <w:t>30.</w:t>
      </w:r>
    </w:p>
    <w:p>
      <w:pPr>
        <w:pStyle w:val="Body"/>
      </w:pPr>
      <w:r>
        <w:rPr>
          <w:rtl w:val="0"/>
        </w:rPr>
        <w:t>{/mode === 'age-of-majority'}</w:t>
      </w:r>
    </w:p>
    <w:p>
      <w:pPr>
        <w:pStyle w:val="Body"/>
      </w:pPr>
    </w:p>
    <w:p>
      <w:pPr>
        <w:pStyle w:val="Body"/>
      </w:pPr>
      <w:r>
        <w:rPr>
          <w:rtl w:val="0"/>
          <w:lang w:val="fr-FR"/>
        </w:rPr>
        <w:t>{/distribution}</w:t>
      </w:r>
    </w:p>
    <w:p>
      <w:pPr>
        <w:pStyle w:val="Body"/>
      </w:pPr>
    </w:p>
    <w:p>
      <w:pPr>
        <w:pStyle w:val="Body"/>
        <w:numPr>
          <w:ilvl w:val="0"/>
          <w:numId w:val="9"/>
        </w:numPr>
        <w:bidi w:val="0"/>
        <w:spacing w:before="71" w:line="302" w:lineRule="auto"/>
        <w:ind w:right="57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Death of Beneficiary Before Final Distribution: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If a beneficiary dies before receiving full distribution of his or her share, the remaining balance of that beneficiary's trust shall be distributed to that beneficiary's heirs in accordance with the Islamic Law of Inheritance.</w:t>
      </w:r>
    </w:p>
    <w:p>
      <w:pPr>
        <w:pStyle w:val="Body"/>
        <w:numPr>
          <w:ilvl w:val="0"/>
          <w:numId w:val="9"/>
        </w:numPr>
        <w:bidi w:val="0"/>
        <w:spacing w:before="76" w:line="304" w:lineRule="auto"/>
        <w:ind w:right="40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Incapacitated Beneficiaries: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beneficiary is incapacitated at the time distribution would otherwise occur, the Trustee may continue to hold the beneficiary's share in trust and administer it for the beneficiary's benefit until capacity is restored or until the beneficiary's death.</w:t>
      </w:r>
    </w:p>
    <w:p>
      <w:pPr>
        <w:pStyle w:val="Body"/>
        <w:numPr>
          <w:ilvl w:val="0"/>
          <w:numId w:val="18"/>
        </w:numPr>
        <w:bidi w:val="0"/>
        <w:spacing w:before="57" w:line="316" w:lineRule="auto"/>
        <w:ind w:right="697"/>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No Powers of Appointment: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Beneficiaries shall have no power of appointment over their trust shares unless expressly provided elsewhere in this instrument.</w:t>
      </w:r>
    </w:p>
    <w:p>
      <w:pPr>
        <w:pStyle w:val="Body"/>
        <w:spacing w:before="116"/>
        <w:rPr>
          <w:sz w:val="20"/>
          <w:szCs w:val="20"/>
        </w:rPr>
      </w:pPr>
      <w:r>
        <mc:AlternateContent>
          <mc:Choice Requires="wps">
            <w:drawing xmlns:a="http://schemas.openxmlformats.org/drawingml/2006/main">
              <wp:anchor distT="0" distB="0" distL="0" distR="0" simplePos="0" relativeHeight="251670528" behindDoc="0" locked="0" layoutInCell="1" allowOverlap="1">
                <wp:simplePos x="0" y="0"/>
                <wp:positionH relativeFrom="column">
                  <wp:posOffset>285750</wp:posOffset>
                </wp:positionH>
                <wp:positionV relativeFrom="line">
                  <wp:posOffset>227069</wp:posOffset>
                </wp:positionV>
                <wp:extent cx="6743700" cy="12700"/>
                <wp:effectExtent l="0" t="0" r="0" b="0"/>
                <wp:wrapTopAndBottom distT="0" distB="0"/>
                <wp:docPr id="1073741838"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39" style="visibility:visible;position:absolute;margin-left:22.5pt;margin-top:17.9pt;width:531.0pt;height:1.0pt;z-index:251670528;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tabs>
          <w:tab w:val="left" w:pos="964"/>
        </w:tabs>
        <w:spacing w:before="57" w:line="316" w:lineRule="auto"/>
        <w:ind w:right="697"/>
        <w:rPr>
          <w:outline w:val="0"/>
          <w:color w:val="030303"/>
          <w:sz w:val="27"/>
          <w:szCs w:val="27"/>
          <w:u w:color="030303"/>
          <w14:textFill>
            <w14:solidFill>
              <w14:srgbClr w14:val="030303"/>
            </w14:solidFill>
          </w14:textFill>
        </w:rPr>
      </w:pPr>
    </w:p>
    <w:p>
      <w:pPr>
        <w:pStyle w:val="heading 6"/>
        <w:spacing w:before="63"/>
        <w:ind w:firstLine="363"/>
      </w:pPr>
      <w:r>
        <w:rPr>
          <w:outline w:val="0"/>
          <w:color w:val="030303"/>
          <w:u w:color="030303"/>
          <w:rtl w:val="0"/>
          <w:lang w:val="en-US"/>
          <w14:textFill>
            <w14:solidFill>
              <w14:srgbClr w14:val="030303"/>
            </w14:solidFill>
          </w14:textFill>
        </w:rPr>
        <w:t>ARTICLE FOURTEEN</w:t>
      </w:r>
    </w:p>
    <w:p>
      <w:pPr>
        <w:pStyle w:val="Body"/>
        <w:ind w:left="360"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Retirement Plans and Life Insurance</w:t>
      </w:r>
    </w:p>
    <w:p>
      <w:pPr>
        <w:pStyle w:val="Body"/>
        <w:numPr>
          <w:ilvl w:val="0"/>
          <w:numId w:val="21"/>
        </w:numPr>
        <w:bidi w:val="0"/>
        <w:spacing w:before="215" w:line="300" w:lineRule="auto"/>
        <w:ind w:right="802"/>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Retirement Plans: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This Article applies to any qualified retirement plan, IRA, annuity, or similar tax-favored account payable to this Trust. The Trustee may:</w:t>
      </w:r>
    </w:p>
    <w:p>
      <w:pPr>
        <w:pStyle w:val="Body"/>
        <w:numPr>
          <w:ilvl w:val="1"/>
          <w:numId w:val="21"/>
        </w:numPr>
        <w:bidi w:val="0"/>
        <w:spacing w:before="65"/>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Collect all retirement benefits payable to the Trust;</w:t>
      </w:r>
    </w:p>
    <w:p>
      <w:pPr>
        <w:pStyle w:val="Body"/>
        <w:numPr>
          <w:ilvl w:val="1"/>
          <w:numId w:val="62"/>
        </w:numPr>
        <w:bidi w:val="0"/>
        <w:spacing w:before="15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Make any elections permitted under applicable law;</w:t>
      </w:r>
    </w:p>
    <w:p>
      <w:pPr>
        <w:pStyle w:val="Body"/>
        <w:numPr>
          <w:ilvl w:val="1"/>
          <w:numId w:val="62"/>
        </w:numPr>
        <w:bidi w:val="0"/>
        <w:spacing w:before="141" w:line="312" w:lineRule="auto"/>
        <w:ind w:right="413"/>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Determine the timing and manner of distributions consistent with required minimum distribution rules; and</w:t>
      </w:r>
    </w:p>
    <w:p>
      <w:pPr>
        <w:pStyle w:val="Body"/>
        <w:numPr>
          <w:ilvl w:val="1"/>
          <w:numId w:val="63"/>
        </w:numPr>
        <w:bidi w:val="0"/>
        <w:spacing w:before="48"/>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Make a qualified disclaimer of retirement benefits if advisable.</w:t>
      </w:r>
    </w:p>
    <w:p>
      <w:pPr>
        <w:pStyle w:val="Body"/>
        <w:spacing w:before="142" w:line="306" w:lineRule="auto"/>
        <w:ind w:left="958" w:right="362"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may not change or designate beneficiaries under any retirement plan. The Trustee shall administer retirement benefits in compliance with applicable federal law, including Internal Revenue Code Section 401(a)(9) and any successor provisions. The Trustee shall not be liable to any beneficiary for good-faith decisions regarding retirement distribution elections.</w:t>
      </w:r>
    </w:p>
    <w:p>
      <w:pPr>
        <w:pStyle w:val="Body"/>
        <w:numPr>
          <w:ilvl w:val="0"/>
          <w:numId w:val="64"/>
        </w:numPr>
        <w:bidi w:val="0"/>
        <w:spacing w:before="70" w:line="300" w:lineRule="auto"/>
        <w:ind w:right="436"/>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Retirement Benefits Payable to the Surviving Spouse: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retirement benefits become payable to the Survivor's Trust and the surviving spouse is entitled to receive them directly under applicable law, the Trustee shall, upon request of the surviving spouse, facilitate:</w:t>
      </w:r>
    </w:p>
    <w:p>
      <w:pPr>
        <w:pStyle w:val="Body"/>
        <w:numPr>
          <w:ilvl w:val="1"/>
          <w:numId w:val="64"/>
        </w:numPr>
        <w:bidi w:val="0"/>
        <w:spacing w:before="80"/>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Direct distribution to the surviving spouse; or</w:t>
      </w:r>
    </w:p>
    <w:p>
      <w:pPr>
        <w:pStyle w:val="Body"/>
        <w:numPr>
          <w:ilvl w:val="1"/>
          <w:numId w:val="65"/>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Direct rollover into an account in the surviving spouse's name,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permitted by law.</w:t>
      </w:r>
    </w:p>
    <w:p>
      <w:pPr>
        <w:pStyle w:val="Body"/>
        <w:numPr>
          <w:ilvl w:val="0"/>
          <w:numId w:val="51"/>
        </w:numPr>
        <w:bidi w:val="0"/>
        <w:spacing w:before="214" w:line="300" w:lineRule="auto"/>
        <w:ind w:right="1208"/>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Life Insurance: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During lifetime, each Grantor retains all ownership rights in any life insurance policy owned by or payable to the Trust, including:</w:t>
      </w:r>
    </w:p>
    <w:p>
      <w:pPr>
        <w:pStyle w:val="Body"/>
        <w:numPr>
          <w:ilvl w:val="1"/>
          <w:numId w:val="51"/>
        </w:numPr>
        <w:bidi w:val="0"/>
        <w:spacing w:before="65"/>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right to change beneficiaries;</w:t>
      </w:r>
    </w:p>
    <w:p>
      <w:pPr>
        <w:pStyle w:val="Body"/>
        <w:numPr>
          <w:ilvl w:val="1"/>
          <w:numId w:val="51"/>
        </w:numPr>
        <w:bidi w:val="0"/>
        <w:spacing w:before="155"/>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right to borrow against or surrender the policy; and</w:t>
      </w:r>
    </w:p>
    <w:p>
      <w:pPr>
        <w:pStyle w:val="Body"/>
        <w:numPr>
          <w:ilvl w:val="1"/>
          <w:numId w:val="51"/>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right to make elections under the policy.</w:t>
      </w:r>
    </w:p>
    <w:p>
      <w:pPr>
        <w:pStyle w:val="Body"/>
        <w:spacing w:before="156" w:line="304" w:lineRule="auto"/>
        <w:ind w:left="962" w:right="362" w:hanging="4"/>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has no duty to pay premiums. After a Grantor's death, the Trustee may collect all policy proceeds and exercise settlement options permitted under the policy. No beneficiary may hold the Trustee liable for any good-faith election made regarding policy proceeds.</w:t>
      </w:r>
    </w:p>
    <w:p>
      <w:pPr>
        <w:pStyle w:val="Body"/>
        <w:numPr>
          <w:ilvl w:val="0"/>
          <w:numId w:val="66"/>
        </w:numPr>
        <w:bidi w:val="0"/>
        <w:spacing w:before="62" w:line="306" w:lineRule="auto"/>
        <w:ind w:right="39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Third-Party Protection: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Any person or entity paying benefits to the Trustee in good faith shall not be required to inquire into the Trustee's authority or the application of proceeds. A receipt signed by the Trustee shall fully discharge the payor.</w:t>
      </w:r>
    </w:p>
    <w:p>
      <w:pPr>
        <w:pStyle w:val="Body"/>
        <w:numPr>
          <w:ilvl w:val="0"/>
          <w:numId w:val="46"/>
        </w:numPr>
        <w:bidi w:val="0"/>
        <w:spacing w:before="52" w:line="312" w:lineRule="auto"/>
        <w:ind w:right="82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No Obligation to Maintain Policies: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Nothing in this Trust requires either Grantor or the Trustee to purchase, maintain, or continue any retirement plan or life insurance policy.</w:t>
      </w:r>
    </w:p>
    <w:p>
      <w:pPr>
        <w:pStyle w:val="Body"/>
        <w:spacing w:before="116"/>
        <w:rPr>
          <w:sz w:val="20"/>
          <w:szCs w:val="20"/>
        </w:rPr>
      </w:pPr>
      <w:r>
        <mc:AlternateContent>
          <mc:Choice Requires="wps">
            <w:drawing xmlns:a="http://schemas.openxmlformats.org/drawingml/2006/main">
              <wp:anchor distT="0" distB="0" distL="0" distR="0" simplePos="0" relativeHeight="251671552" behindDoc="0" locked="0" layoutInCell="1" allowOverlap="1">
                <wp:simplePos x="0" y="0"/>
                <wp:positionH relativeFrom="column">
                  <wp:posOffset>285750</wp:posOffset>
                </wp:positionH>
                <wp:positionV relativeFrom="line">
                  <wp:posOffset>227069</wp:posOffset>
                </wp:positionV>
                <wp:extent cx="6743700" cy="12700"/>
                <wp:effectExtent l="0" t="0" r="0" b="0"/>
                <wp:wrapTopAndBottom distT="0" distB="0"/>
                <wp:docPr id="1073741839"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40" style="visibility:visible;position:absolute;margin-left:22.5pt;margin-top:17.9pt;width:531.0pt;height:1.0pt;z-index:251671552;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spacing w:before="290"/>
        <w:rPr>
          <w:sz w:val="26"/>
          <w:szCs w:val="26"/>
        </w:rPr>
      </w:pPr>
    </w:p>
    <w:p>
      <w:pPr>
        <w:pStyle w:val="Body"/>
        <w:ind w:firstLine="363"/>
        <w:rPr>
          <w:outline w:val="0"/>
          <w:color w:val="030303"/>
          <w:u w:color="030303"/>
          <w14:textFill>
            <w14:solidFill>
              <w14:srgbClr w14:val="030303"/>
            </w14:solidFill>
          </w14:textFill>
        </w:rPr>
      </w:pPr>
    </w:p>
    <w:p>
      <w:pPr>
        <w:pStyle w:val="heading 6"/>
        <w:ind w:firstLine="363"/>
      </w:pPr>
      <w:r>
        <w:rPr>
          <w:outline w:val="0"/>
          <w:color w:val="030303"/>
          <w:u w:color="030303"/>
          <w:rtl w:val="0"/>
          <w:lang w:val="en-US"/>
          <w14:textFill>
            <w14:solidFill>
              <w14:srgbClr w14:val="030303"/>
            </w14:solidFill>
          </w14:textFill>
        </w:rPr>
        <w:t>ARTICLE FIFTEEN</w:t>
      </w:r>
    </w:p>
    <w:p>
      <w:pPr>
        <w:pStyle w:val="Body"/>
        <w:ind w:left="356"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Trust Administration and Trustee Powers</w:t>
      </w:r>
    </w:p>
    <w:p>
      <w:pPr>
        <w:pStyle w:val="Body"/>
        <w:numPr>
          <w:ilvl w:val="0"/>
          <w:numId w:val="37"/>
        </w:numPr>
        <w:bidi w:val="0"/>
        <w:spacing w:before="216" w:line="304" w:lineRule="auto"/>
        <w:ind w:right="364"/>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Governing Law: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This Trust shall be governed by the laws of the State of Texas, except to the extent mandatory law provides otherwise.</w:t>
      </w:r>
    </w:p>
    <w:p>
      <w:pPr>
        <w:pStyle w:val="Body"/>
        <w:numPr>
          <w:ilvl w:val="0"/>
          <w:numId w:val="46"/>
        </w:numPr>
        <w:bidi w:val="0"/>
        <w:spacing w:before="52" w:line="316" w:lineRule="auto"/>
        <w:ind w:right="1122"/>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No Court Supervision; Bond Waiver: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This Trust shall be administered without court supervision unless required by law. No Trustee shall be required to post bond.</w:t>
      </w:r>
    </w:p>
    <w:p>
      <w:pPr>
        <w:pStyle w:val="Body"/>
        <w:numPr>
          <w:ilvl w:val="0"/>
          <w:numId w:val="46"/>
        </w:numPr>
        <w:bidi w:val="0"/>
        <w:spacing w:before="36" w:line="306" w:lineRule="auto"/>
        <w:ind w:right="597"/>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Distribution Authority: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Whenever the Trustee is authorized to make a distribution, the Trustee may distribute property directly to the beneficiary or apply it for the beneficiary's benefit. The Trustee has no duty to monitor the beneficiary's use of distributed property.</w:t>
      </w:r>
    </w:p>
    <w:p>
      <w:pPr>
        <w:pStyle w:val="Body"/>
        <w:numPr>
          <w:ilvl w:val="0"/>
          <w:numId w:val="43"/>
        </w:numPr>
        <w:bidi w:val="0"/>
        <w:spacing w:before="57" w:line="306" w:lineRule="auto"/>
        <w:ind w:right="102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Reliance on Information: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may rely in good faith on written information provided by beneficiaries, advisors, or third parties and shall not be liable for acting or failing to act without notice of relevant events.</w:t>
      </w:r>
    </w:p>
    <w:p>
      <w:pPr>
        <w:pStyle w:val="Body"/>
        <w:numPr>
          <w:ilvl w:val="0"/>
          <w:numId w:val="67"/>
        </w:numPr>
        <w:bidi w:val="0"/>
        <w:spacing w:before="67" w:line="304" w:lineRule="auto"/>
        <w:ind w:right="1441"/>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Delegation: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may delegate investment, administrative, or professional functions to qualified agents and may rely on such agents in good faith.</w:t>
      </w:r>
    </w:p>
    <w:p>
      <w:pPr>
        <w:pStyle w:val="Body"/>
        <w:numPr>
          <w:ilvl w:val="0"/>
          <w:numId w:val="66"/>
        </w:numPr>
        <w:bidi w:val="0"/>
        <w:spacing w:before="67" w:line="302" w:lineRule="auto"/>
        <w:ind w:right="714"/>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Trustee Protection: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No Trustee shall be liable for any act or omission taken in good faith and without willful misconduct. Successor Trustees are not liable for the acts of prior Trustees.</w:t>
      </w:r>
    </w:p>
    <w:p>
      <w:pPr>
        <w:pStyle w:val="Body"/>
        <w:numPr>
          <w:ilvl w:val="0"/>
          <w:numId w:val="68"/>
        </w:numPr>
        <w:bidi w:val="0"/>
        <w:spacing w:before="76" w:line="300" w:lineRule="auto"/>
        <w:ind w:right="887"/>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Self-Dealing: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A Trustee who is also a beneficiary may engage in transactions involving trust property only </w:t>
      </w:r>
      <w:r>
        <w:rPr>
          <w:rFonts w:ascii="Arial" w:hAnsi="Arial"/>
          <w:caps w:val="0"/>
          <w:smallCaps w:val="0"/>
          <w:strike w:val="0"/>
          <w:dstrike w:val="0"/>
          <w:outline w:val="0"/>
          <w:color w:val="030303"/>
          <w:sz w:val="24"/>
          <w:szCs w:val="24"/>
          <w:u w:val="none" w:color="030303"/>
          <w:shd w:val="nil" w:color="auto" w:fill="auto"/>
          <w:vertAlign w:val="baseline"/>
          <w:rtl w:val="0"/>
          <w:lang w:val="de-DE"/>
          <w14:textFill>
            <w14:solidFill>
              <w14:srgbClr w14:val="030303"/>
            </w14:solidFill>
          </w14:textFill>
        </w:rPr>
        <w:t>if:</w:t>
      </w:r>
    </w:p>
    <w:p>
      <w:pPr>
        <w:pStyle w:val="Body"/>
        <w:numPr>
          <w:ilvl w:val="1"/>
          <w:numId w:val="68"/>
        </w:numPr>
        <w:bidi w:val="0"/>
        <w:spacing w:before="79"/>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transaction is for fair market value;</w:t>
      </w:r>
    </w:p>
    <w:p>
      <w:pPr>
        <w:pStyle w:val="Body"/>
        <w:numPr>
          <w:ilvl w:val="1"/>
          <w:numId w:val="68"/>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terms are commercially reasonable; and</w:t>
      </w:r>
    </w:p>
    <w:p>
      <w:pPr>
        <w:pStyle w:val="Body"/>
        <w:numPr>
          <w:ilvl w:val="1"/>
          <w:numId w:val="69"/>
        </w:numPr>
        <w:bidi w:val="0"/>
        <w:spacing w:before="137" w:line="360" w:lineRule="auto"/>
        <w:ind w:right="442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All other adult beneficiaries consent in writing. All duties of loyalty and impartiality remain applicable.</w:t>
      </w:r>
    </w:p>
    <w:p>
      <w:pPr>
        <w:pStyle w:val="Body"/>
        <w:numPr>
          <w:ilvl w:val="0"/>
          <w:numId w:val="70"/>
        </w:numPr>
        <w:bidi w:val="0"/>
        <w:spacing w:line="312" w:lineRule="auto"/>
        <w:ind w:right="432"/>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Compensation: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Trustee other than a Grantor is entitled to reasonable compensation and reimbursement for reasonable expenses.</w:t>
      </w:r>
    </w:p>
    <w:p>
      <w:pPr>
        <w:pStyle w:val="Body"/>
        <w:numPr>
          <w:ilvl w:val="0"/>
          <w:numId w:val="11"/>
        </w:numPr>
        <w:bidi w:val="0"/>
        <w:spacing w:before="34" w:line="300" w:lineRule="auto"/>
        <w:ind w:right="150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Principal and Income: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Texas Uniform Principal and Income Act shall govern allocations between principal and income unless otherwise provided</w:t>
      </w:r>
      <w:r>
        <w:rPr>
          <w:caps w:val="0"/>
          <w:smallCaps w:val="0"/>
          <w:strike w:val="0"/>
          <w:dstrike w:val="0"/>
          <w:outline w:val="0"/>
          <w:color w:val="363636"/>
          <w:sz w:val="27"/>
          <w:szCs w:val="27"/>
          <w:u w:val="none" w:color="363636"/>
          <w:shd w:val="nil" w:color="auto" w:fill="auto"/>
          <w:vertAlign w:val="baseline"/>
          <w:rtl w:val="0"/>
          <w14:textFill>
            <w14:solidFill>
              <w14:srgbClr w14:val="363636"/>
            </w14:solidFill>
          </w14:textFill>
        </w:rPr>
        <w:t>.</w:t>
      </w:r>
    </w:p>
    <w:p>
      <w:pPr>
        <w:pStyle w:val="Body"/>
        <w:numPr>
          <w:ilvl w:val="0"/>
          <w:numId w:val="18"/>
        </w:numPr>
        <w:bidi w:val="0"/>
        <w:spacing w:before="80"/>
        <w:ind w:right="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Authority to Merge, Sever, or Terminate: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may:</w:t>
      </w:r>
    </w:p>
    <w:p>
      <w:pPr>
        <w:pStyle w:val="Body"/>
        <w:numPr>
          <w:ilvl w:val="1"/>
          <w:numId w:val="71"/>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Merge trusts with substantially identical terms;</w:t>
      </w:r>
    </w:p>
    <w:p>
      <w:pPr>
        <w:pStyle w:val="Body"/>
        <w:numPr>
          <w:ilvl w:val="1"/>
          <w:numId w:val="72"/>
        </w:numPr>
        <w:bidi w:val="0"/>
        <w:spacing w:before="15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Sever trusts into separate shares; and</w:t>
      </w:r>
    </w:p>
    <w:p>
      <w:pPr>
        <w:pStyle w:val="Body"/>
        <w:numPr>
          <w:ilvl w:val="1"/>
          <w:numId w:val="73"/>
        </w:numPr>
        <w:bidi w:val="0"/>
        <w:spacing w:before="141" w:line="300" w:lineRule="auto"/>
        <w:ind w:right="763"/>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Terminate any trust that is uneconomical to administer and distribute assets to the beneficiary entitled to receive them.</w:t>
      </w:r>
    </w:p>
    <w:p>
      <w:pPr>
        <w:pStyle w:val="Body"/>
        <w:numPr>
          <w:ilvl w:val="0"/>
          <w:numId w:val="13"/>
        </w:numPr>
        <w:bidi w:val="0"/>
        <w:spacing w:before="62" w:line="306" w:lineRule="auto"/>
        <w:ind w:right="534"/>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Reports: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If neither Grantor is serving as Trustee, the Trustee shall provide annual written reports to the primary beneficiary unless waived in writing. Delivery of a fiduciary income tax return satisfies this requirement.</w:t>
      </w:r>
    </w:p>
    <w:p>
      <w:pPr>
        <w:pStyle w:val="Body"/>
        <w:numPr>
          <w:ilvl w:val="0"/>
          <w:numId w:val="9"/>
        </w:numPr>
        <w:bidi w:val="0"/>
        <w:spacing w:before="53" w:line="312" w:lineRule="auto"/>
        <w:ind w:right="652"/>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Statutory Powers: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shall have all powers granted under the Texas Trust Code and any successor statutes.</w:t>
      </w:r>
    </w:p>
    <w:p>
      <w:pPr>
        <w:pStyle w:val="Body"/>
        <w:ind w:firstLine="363"/>
        <w:rPr>
          <w:outline w:val="0"/>
          <w:color w:val="030303"/>
          <w:u w:color="030303"/>
          <w14:textFill>
            <w14:solidFill>
              <w14:srgbClr w14:val="030303"/>
            </w14:solidFill>
          </w14:textFill>
        </w:rPr>
      </w:pPr>
    </w:p>
    <w:p>
      <w:pPr>
        <w:pStyle w:val="Body"/>
        <w:spacing w:before="116"/>
        <w:rPr>
          <w:sz w:val="20"/>
          <w:szCs w:val="20"/>
        </w:rPr>
      </w:pPr>
      <w:r>
        <mc:AlternateContent>
          <mc:Choice Requires="wps">
            <w:drawing xmlns:a="http://schemas.openxmlformats.org/drawingml/2006/main">
              <wp:anchor distT="0" distB="0" distL="0" distR="0" simplePos="0" relativeHeight="251672576" behindDoc="0" locked="0" layoutInCell="1" allowOverlap="1">
                <wp:simplePos x="0" y="0"/>
                <wp:positionH relativeFrom="column">
                  <wp:posOffset>285750</wp:posOffset>
                </wp:positionH>
                <wp:positionV relativeFrom="line">
                  <wp:posOffset>227069</wp:posOffset>
                </wp:positionV>
                <wp:extent cx="6743700" cy="12700"/>
                <wp:effectExtent l="0" t="0" r="0" b="0"/>
                <wp:wrapTopAndBottom distT="0" distB="0"/>
                <wp:docPr id="1073741840"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41" style="visibility:visible;position:absolute;margin-left:22.5pt;margin-top:17.9pt;width:531.0pt;height:1.0pt;z-index:251672576;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ind w:left="0" w:firstLine="0"/>
        <w:rPr>
          <w:outline w:val="0"/>
          <w:color w:val="030303"/>
          <w:u w:color="030303"/>
          <w14:textFill>
            <w14:solidFill>
              <w14:srgbClr w14:val="030303"/>
            </w14:solidFill>
          </w14:textFill>
        </w:rPr>
      </w:pPr>
    </w:p>
    <w:p>
      <w:pPr>
        <w:pStyle w:val="Body"/>
        <w:ind w:firstLine="363"/>
        <w:rPr>
          <w:outline w:val="0"/>
          <w:color w:val="030303"/>
          <w:u w:color="030303"/>
          <w14:textFill>
            <w14:solidFill>
              <w14:srgbClr w14:val="030303"/>
            </w14:solidFill>
          </w14:textFill>
        </w:rPr>
      </w:pPr>
    </w:p>
    <w:p>
      <w:pPr>
        <w:pStyle w:val="heading 6"/>
        <w:ind w:firstLine="363"/>
      </w:pPr>
      <w:r>
        <w:rPr>
          <w:outline w:val="0"/>
          <w:color w:val="030303"/>
          <w:u w:color="030303"/>
          <w:rtl w:val="0"/>
          <w:lang w:val="en-US"/>
          <w14:textFill>
            <w14:solidFill>
              <w14:srgbClr w14:val="030303"/>
            </w14:solidFill>
          </w14:textFill>
        </w:rPr>
        <w:t>ARTICLE SIXTEEN</w:t>
      </w:r>
    </w:p>
    <w:p>
      <w:pPr>
        <w:pStyle w:val="Body"/>
        <w:spacing w:before="1"/>
        <w:ind w:left="360"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General Provisions</w:t>
      </w:r>
    </w:p>
    <w:p>
      <w:pPr>
        <w:pStyle w:val="Body"/>
        <w:numPr>
          <w:ilvl w:val="0"/>
          <w:numId w:val="9"/>
        </w:numPr>
        <w:bidi w:val="0"/>
        <w:spacing w:before="215" w:line="306" w:lineRule="auto"/>
        <w:ind w:right="89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Spendthrift Protection: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No beneficiary may assign, anticipate, encumber, alienate, or otherwise voluntarily transfer any interest in income or principal held in trust. No such interest is subject to attachment, garnishment, bankruptcy proceedings, or other legal process before actual receipt by the beneficiary. This provision does not restrict a beneficiary's right to disclaim an interest.</w:t>
      </w:r>
    </w:p>
    <w:p>
      <w:pPr>
        <w:pStyle w:val="Body"/>
        <w:numPr>
          <w:ilvl w:val="0"/>
          <w:numId w:val="46"/>
        </w:numPr>
        <w:bidi w:val="0"/>
        <w:spacing w:before="56" w:line="306" w:lineRule="auto"/>
        <w:ind w:right="362"/>
        <w:jc w:val="left"/>
        <w:rPr>
          <w:outline w:val="0"/>
          <w:color w:val="030303"/>
          <w:sz w:val="26"/>
          <w:szCs w:val="26"/>
          <w:rtl w:val="0"/>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No-Contest: If any person contests the validity of this Trust or any amendment, or seeks to set aside any material provision of this Trust, that person shall forfeit any interest otherwise provided to that person under this Trust, and shall be treated as having predeceased the Grantor whose property is being administered, to the extent permitted by Texas law.</w:t>
      </w:r>
    </w:p>
    <w:p>
      <w:pPr>
        <w:pStyle w:val="Body"/>
        <w:numPr>
          <w:ilvl w:val="0"/>
          <w:numId w:val="74"/>
        </w:numPr>
        <w:bidi w:val="0"/>
        <w:spacing w:before="63" w:line="306" w:lineRule="auto"/>
        <w:ind w:right="611"/>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Simultaneous Death; Survivorship Presumption: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the order of deaths of the Grantors cannot be established, each Grantor shall be deemed to have predeceased the other for purposes of administering that Grantor's distributable estate under this Trust. Each Grantor's property shall be administered and distributed under Articles Nine through Thirteen as though the other Grantor did not survive. For any other beneficiary, a beneficiary must survive the Grantor by 30 days to be treated as surviving for purposes of determining entitlement to any distribution under this Trust.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beneficiary fails to survive the Grantor by thirty (30) days, that beneficiary shall be deemed to have predeceased the Grantor, and the beneficiary's share shall be distributed as though the beneficiary had not survived, subject to the recalculation provisions of Article Twelve where applicable.</w:t>
      </w:r>
    </w:p>
    <w:p>
      <w:pPr>
        <w:pStyle w:val="Body"/>
        <w:numPr>
          <w:ilvl w:val="0"/>
          <w:numId w:val="43"/>
        </w:numPr>
        <w:bidi w:val="0"/>
        <w:spacing w:before="40" w:line="306" w:lineRule="auto"/>
        <w:ind w:right="79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Effect of Legal Separation or Divorce Filing: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either Grantor files a petition for legal separation, annulment, or dissolution of marriage, then-unless and until the petition is dismissed-any provision of this Trust treating the other Grantor as a beneficiary or fiduciary shall be treated as revoked as to that other Grantor, to the extent permitted by Texas law.</w:t>
      </w:r>
    </w:p>
    <w:p>
      <w:pPr>
        <w:pStyle w:val="Body"/>
        <w:numPr>
          <w:ilvl w:val="0"/>
          <w:numId w:val="10"/>
        </w:numPr>
        <w:bidi w:val="0"/>
        <w:spacing w:before="77" w:line="304" w:lineRule="auto"/>
        <w:ind w:right="567"/>
        <w:jc w:val="left"/>
        <w:rPr>
          <w:outline w:val="0"/>
          <w:color w:val="030303"/>
          <w:sz w:val="26"/>
          <w:szCs w:val="26"/>
          <w:rtl w:val="0"/>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Anti-Lapse Statutes Waived: No anti-lapse statute of Texas or any other jurisdiction shall apply to alter the disposition of property under this Trust.</w:t>
      </w:r>
    </w:p>
    <w:p>
      <w:pPr>
        <w:pStyle w:val="Body"/>
        <w:numPr>
          <w:ilvl w:val="0"/>
          <w:numId w:val="35"/>
        </w:numPr>
        <w:bidi w:val="0"/>
        <w:spacing w:before="67" w:line="306" w:lineRule="auto"/>
        <w:ind w:right="464"/>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Governing Law; Situs; Venue: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This Trust shall be governed by Texas law (excluding conflict-of-law rules), except to the extent mandatory law applies. The Trustee may change the situs of administration of the Trust to another jurisdiction if the Trustee determines in good faith that doing so is in the best interests of the beneficiaries or is reasonably necessary for efficient administration. Any such change shall not alter the substantive distribution provisions of Articles Ten through Thirteen. Unless otherwise required by mandatory law, venue for any proceeding concerning this Trust shall be in the county in Texas where the Trust is then principally administered.</w:t>
      </w:r>
    </w:p>
    <w:p>
      <w:pPr>
        <w:pStyle w:val="Body"/>
        <w:numPr>
          <w:ilvl w:val="0"/>
          <w:numId w:val="75"/>
        </w:numPr>
        <w:bidi w:val="0"/>
        <w:spacing w:before="55" w:line="300" w:lineRule="auto"/>
        <w:ind w:right="642"/>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Severability: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If any provision of this Trust is held invalid or unenforceable, the remaining provisions shall be enforced to the fullest extent permitted by law.</w:t>
      </w:r>
    </w:p>
    <w:p>
      <w:pPr>
        <w:pStyle w:val="Body"/>
        <w:numPr>
          <w:ilvl w:val="0"/>
          <w:numId w:val="46"/>
        </w:numPr>
        <w:bidi w:val="0"/>
        <w:spacing w:before="75" w:line="306" w:lineRule="auto"/>
        <w:ind w:right="750"/>
        <w:jc w:val="left"/>
        <w:rPr>
          <w:outline w:val="0"/>
          <w:color w:val="030303"/>
          <w:sz w:val="26"/>
          <w:szCs w:val="26"/>
          <w:rtl w:val="0"/>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 xml:space="preserve">Digital Assets: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is authorized to access, manage, control, delete, and transfer any digital assets of a Grantor or of this Trust to the extent permitted by Texas law, including the Texas Revised Uniform Fiduciary Access to Digital Assets Act (or any successor statute), and may take reasonable steps to obtain information, passwords, account access, and electronic records necessary for trust administration.</w:t>
      </w:r>
    </w:p>
    <w:p>
      <w:pPr>
        <w:pStyle w:val="Body"/>
        <w:numPr>
          <w:ilvl w:val="0"/>
          <w:numId w:val="76"/>
        </w:numPr>
        <w:bidi w:val="0"/>
        <w:spacing w:before="60"/>
        <w:ind w:right="0"/>
        <w:jc w:val="left"/>
        <w:rPr>
          <w:outline w:val="0"/>
          <w:color w:val="030303"/>
          <w:sz w:val="26"/>
          <w:szCs w:val="26"/>
          <w:rtl w:val="0"/>
          <w:lang w:val="fr-FR"/>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fr-FR"/>
          <w14:textFill>
            <w14:solidFill>
              <w14:srgbClr w14:val="030303"/>
            </w14:solidFill>
          </w14:textFill>
        </w:rPr>
        <w:t xml:space="preserve">Definitions: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For the purposes of this Trust:</w:t>
      </w:r>
    </w:p>
    <w:p>
      <w:pPr>
        <w:pStyle w:val="Body"/>
        <w:numPr>
          <w:ilvl w:val="1"/>
          <w:numId w:val="76"/>
        </w:numPr>
        <w:bidi w:val="0"/>
        <w:spacing w:before="136"/>
        <w:ind w:right="0"/>
        <w:jc w:val="left"/>
        <w:rPr>
          <w:outline w:val="0"/>
          <w:color w:val="030303"/>
          <w:sz w:val="26"/>
          <w:szCs w:val="26"/>
          <w:rtl w:val="0"/>
          <w:lang w:val="pt-PT"/>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pt-PT"/>
          <w14:textFill>
            <w14:solidFill>
              <w14:srgbClr w14:val="030303"/>
            </w14:solidFill>
          </w14:textFill>
        </w:rPr>
        <w:t xml:space="preserve">Grantor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means a maker of this Trust (also called settlor or trustor).</w:t>
      </w:r>
    </w:p>
    <w:p>
      <w:pPr>
        <w:pStyle w:val="Body"/>
        <w:numPr>
          <w:ilvl w:val="1"/>
          <w:numId w:val="76"/>
        </w:numPr>
        <w:bidi w:val="0"/>
        <w:spacing w:before="156"/>
        <w:ind w:right="0"/>
        <w:jc w:val="both"/>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Incapacity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has the meaning and determination method stated in Article Eight.</w:t>
      </w:r>
    </w:p>
    <w:p>
      <w:pPr>
        <w:pStyle w:val="Body"/>
        <w:numPr>
          <w:ilvl w:val="1"/>
          <w:numId w:val="77"/>
        </w:numPr>
        <w:bidi w:val="0"/>
        <w:spacing w:before="141" w:line="306" w:lineRule="auto"/>
        <w:ind w:right="359"/>
        <w:jc w:val="both"/>
        <w:rPr>
          <w:outline w:val="0"/>
          <w:color w:val="030303"/>
          <w:sz w:val="26"/>
          <w:szCs w:val="26"/>
          <w:rtl w:val="0"/>
          <w:lang w:val="it-IT"/>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it-IT"/>
          <w14:textFill>
            <w14:solidFill>
              <w14:srgbClr w14:val="030303"/>
            </w14:solidFill>
          </w14:textFill>
        </w:rPr>
        <w:t xml:space="preserve">Legal Representative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means a guardian, conservator, executor, administrator, trustee, attorney-in-fact, or other lawful representative of a person or the person's estate. For a minor beneficiary, a parent or custodial adult may act as Legal Representative.</w:t>
      </w:r>
    </w:p>
    <w:p>
      <w:pPr>
        <w:pStyle w:val="Body"/>
        <w:numPr>
          <w:ilvl w:val="1"/>
          <w:numId w:val="78"/>
        </w:numPr>
        <w:bidi w:val="0"/>
        <w:spacing w:before="53" w:line="312" w:lineRule="auto"/>
        <w:ind w:right="445"/>
        <w:jc w:val="both"/>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Islamic Law </w:t>
      </w:r>
      <w:r>
        <w:rPr>
          <w:b w:val="1"/>
          <w:bCs w:val="1"/>
          <w:outline w:val="0"/>
          <w:color w:val="030303"/>
          <w:sz w:val="26"/>
          <w:szCs w:val="26"/>
          <w:u w:color="030303"/>
          <w:rtl w:val="0"/>
          <w:lang w:val="en-US"/>
          <w14:textFill>
            <w14:solidFill>
              <w14:srgbClr w14:val="030303"/>
            </w14:solidFill>
          </w14:textFill>
        </w:rPr>
        <w:t>of inheritance</w:t>
      </w:r>
      <w:r>
        <w:rPr>
          <w:b w:val="1"/>
          <w:bCs w:val="1"/>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 xml:space="preserv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means the </w:t>
      </w:r>
      <w:r>
        <w:rPr>
          <w:rFonts w:ascii="Arial" w:hAnsi="Arial"/>
          <w:i w:val="1"/>
          <w:iCs w:val="1"/>
          <w:caps w:val="0"/>
          <w:smallCaps w:val="0"/>
          <w:strike w:val="0"/>
          <w:dstrike w:val="0"/>
          <w:outline w:val="0"/>
          <w:color w:val="030303"/>
          <w:sz w:val="25"/>
          <w:szCs w:val="25"/>
          <w:u w:val="none" w:color="030303"/>
          <w:shd w:val="nil" w:color="auto" w:fill="auto"/>
          <w:vertAlign w:val="baseline"/>
          <w:rtl w:val="0"/>
          <w14:textFill>
            <w14:solidFill>
              <w14:srgbClr w14:val="030303"/>
            </w14:solidFill>
          </w14:textFill>
        </w:rPr>
        <w:t xml:space="preserve">fara'id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rules implemented through Article Twelve, including the recalculation requirement at death described in Article Twelve.</w:t>
      </w:r>
    </w:p>
    <w:p>
      <w:pPr>
        <w:pStyle w:val="Body"/>
        <w:numPr>
          <w:ilvl w:val="0"/>
          <w:numId w:val="74"/>
        </w:numPr>
        <w:bidi w:val="0"/>
        <w:spacing w:before="110" w:line="306" w:lineRule="auto"/>
        <w:ind w:right="493"/>
        <w:jc w:val="both"/>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Notices; Reliance: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Any notice required or permitted under this Trust must be in writing. A Trustee may rely in good faith on any signed writing, certification, or other documentation that reasonably appears authentic.</w:t>
      </w:r>
    </w:p>
    <w:p>
      <w:pPr>
        <w:pStyle w:val="Body"/>
        <w:spacing w:before="205"/>
        <w:ind w:left="364" w:firstLine="0"/>
      </w:pPr>
      <w:r>
        <w:rPr>
          <w:rFonts w:ascii="Arial" w:hAnsi="Arial"/>
          <w:i w:val="1"/>
          <w:iCs w:val="1"/>
          <w:outline w:val="0"/>
          <w:color w:val="030303"/>
          <w:sz w:val="25"/>
          <w:szCs w:val="25"/>
          <w:u w:color="030303"/>
          <w:rtl w:val="0"/>
          <w:lang w:val="en-US"/>
          <w14:textFill>
            <w14:solidFill>
              <w14:srgbClr w14:val="030303"/>
            </w14:solidFill>
          </w14:textFill>
        </w:rPr>
        <w:t>(The remainder of this page is left intentionally blank.)</w:t>
      </w:r>
      <w:r>
        <w:rPr>
          <w:rFonts w:ascii="Arial Unicode MS" w:cs="Arial Unicode MS" w:hAnsi="Arial Unicode MS" w:eastAsia="Arial Unicode MS"/>
          <w:b w:val="0"/>
          <w:bCs w:val="0"/>
          <w:i w:val="0"/>
          <w:iCs w:val="0"/>
        </w:rPr>
        <w:br w:type="page"/>
      </w:r>
    </w:p>
    <w:p>
      <w:pPr>
        <w:pStyle w:val="Body"/>
        <w:spacing w:before="205"/>
        <w:ind w:left="364" w:firstLine="0"/>
        <w:rPr>
          <w:rFonts w:ascii="Arial" w:cs="Arial" w:hAnsi="Arial" w:eastAsia="Arial"/>
          <w:i w:val="1"/>
          <w:iCs w:val="1"/>
          <w:outline w:val="0"/>
          <w:color w:val="030303"/>
          <w:sz w:val="25"/>
          <w:szCs w:val="25"/>
          <w:u w:color="030303"/>
          <w14:textFill>
            <w14:solidFill>
              <w14:srgbClr w14:val="030303"/>
            </w14:solidFill>
          </w14:textFill>
        </w:rPr>
      </w:pPr>
    </w:p>
    <w:p>
      <w:pPr>
        <w:pStyle w:val="Body"/>
        <w:tabs>
          <w:tab w:val="left" w:pos="8947"/>
        </w:tabs>
        <w:ind w:left="362"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We have executed this trust on the following date: {trustDate}.</w:t>
      </w:r>
    </w:p>
    <w:p>
      <w:pPr>
        <w:pStyle w:val="Body"/>
        <w:spacing w:before="286"/>
        <w:ind w:left="357"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This trust instrument is effective when signed by us, whether or not now signed by a Trustee.</w:t>
      </w:r>
    </w:p>
    <w:p>
      <w:pPr>
        <w:pStyle w:val="Body"/>
        <w:tabs>
          <w:tab w:val="left" w:pos="6506"/>
        </w:tabs>
        <w:spacing w:before="63" w:line="278" w:lineRule="auto"/>
        <w:ind w:left="357" w:right="1172" w:firstLine="5"/>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{husbandFullName}, Grantor and Trustee</w:t>
      </w:r>
    </w:p>
    <w:p>
      <w:pPr>
        <w:pStyle w:val="Body"/>
        <w:tabs>
          <w:tab w:val="left" w:pos="6506"/>
        </w:tabs>
        <w:spacing w:before="63" w:line="278" w:lineRule="auto"/>
        <w:ind w:left="357" w:right="1172" w:firstLine="5"/>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{wifeFullName}, Grantor and Trustee</w:t>
      </w:r>
    </w:p>
    <w:p>
      <w:pPr>
        <w:pStyle w:val="Body"/>
        <w:tabs>
          <w:tab w:val="left" w:pos="4249"/>
        </w:tabs>
        <w:ind w:left="361" w:firstLine="0"/>
        <w:rPr>
          <w:b w:val="1"/>
          <w:bCs w:val="1"/>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b w:val="1"/>
          <w:bCs w:val="1"/>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STATE OF TEXAS)</w:t>
        <w:tab/>
      </w:r>
      <w:r>
        <w:rPr>
          <w:caps w:val="0"/>
          <w:smallCaps w:val="0"/>
          <w:strike w:val="0"/>
          <w:dstrike w:val="0"/>
          <w:outline w:val="0"/>
          <w:color w:val="030303"/>
          <w:sz w:val="27"/>
          <w:szCs w:val="27"/>
          <w:u w:val="none" w:color="030303"/>
          <w:shd w:val="nil" w:color="auto" w:fill="auto"/>
          <w:vertAlign w:val="baseline"/>
          <w:rtl w:val="0"/>
          <w:lang w:val="pt-PT"/>
          <w14:textFill>
            <w14:solidFill>
              <w14:srgbClr w14:val="030303"/>
            </w14:solidFill>
          </w14:textFill>
        </w:rPr>
        <w:t xml:space="preserve">) ss. </w:t>
      </w:r>
      <w:r>
        <w:rPr>
          <w:b w:val="1"/>
          <w:bCs w:val="1"/>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COUNTY OF </w:t>
      </w:r>
      <w:r>
        <w:rPr>
          <w:b w:val="1"/>
          <w:bCs w:val="1"/>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{county}</w:t>
      </w:r>
      <w:r>
        <w:rPr>
          <w:b w:val="1"/>
          <w:bCs w:val="1"/>
          <w:caps w:val="0"/>
          <w:smallCaps w:val="0"/>
          <w:strike w:val="0"/>
          <w:dstrike w:val="0"/>
          <w:outline w:val="0"/>
          <w:color w:val="030303"/>
          <w:sz w:val="27"/>
          <w:szCs w:val="27"/>
          <w:u w:val="none" w:color="030303"/>
          <w:shd w:val="nil" w:color="auto" w:fill="auto"/>
          <w:vertAlign w:val="baseline"/>
          <w:rtl w:val="0"/>
          <w14:textFill>
            <w14:solidFill>
              <w14:srgbClr w14:val="030303"/>
            </w14:solidFill>
          </w14:textFill>
        </w:rPr>
        <w:t>)</w:t>
      </w:r>
    </w:p>
    <w:p>
      <w:pPr>
        <w:pStyle w:val="Body"/>
        <w:spacing w:before="257" w:line="280" w:lineRule="auto"/>
        <w:ind w:left="357" w:right="362" w:firstLine="2"/>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Before me, the undersigned authority, on this day personally appeared </w:t>
      </w:r>
      <w:r>
        <w:rPr>
          <w:outline w:val="0"/>
          <w:color w:val="030303"/>
          <w:sz w:val="27"/>
          <w:szCs w:val="27"/>
          <w:u w:color="030303"/>
          <w:rtl w:val="0"/>
          <w:lang w:val="en-US"/>
          <w14:textFill>
            <w14:solidFill>
              <w14:srgbClr w14:val="030303"/>
            </w14:solidFill>
          </w14:textFill>
        </w:rPr>
        <w:t>{husbandFullName}</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known to me (or proved to me by satisfactory evidence) to be the person whose name is subscribed to the foregoing instrument, and acknowledged that he executed the same for the purposes and consideration therein expressed.</w:t>
      </w:r>
    </w:p>
    <w:p>
      <w:pPr>
        <w:pStyle w:val="Body"/>
        <w:tabs>
          <w:tab w:val="left" w:pos="6219"/>
          <w:tab w:val="left" w:pos="8040"/>
        </w:tabs>
        <w:spacing w:before="186"/>
        <w:ind w:left="361" w:firstLine="0"/>
        <w:rPr>
          <w:rFonts w:ascii="Arial" w:cs="Arial" w:hAnsi="Arial" w:eastAsia="Arial"/>
          <w:b w:val="1"/>
          <w:bCs w:val="1"/>
          <w:i w:val="1"/>
          <w:iCs w:val="1"/>
          <w:caps w:val="0"/>
          <w:smallCaps w:val="0"/>
          <w:strike w:val="0"/>
          <w:dstrike w:val="0"/>
          <w:outline w:val="0"/>
          <w:color w:val="000000"/>
          <w:sz w:val="24"/>
          <w:szCs w:val="24"/>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Given under my hand and seal of office on this </w:t>
      </w:r>
      <w:r>
        <w:rPr>
          <w:caps w:val="0"/>
          <w:smallCaps w:val="0"/>
          <w:strike w:val="0"/>
          <w:dstrike w:val="0"/>
          <w:outline w:val="0"/>
          <w:color w:val="030303"/>
          <w:sz w:val="27"/>
          <w:szCs w:val="27"/>
          <w:u w:val="single" w:color="030303"/>
          <w:shd w:val="nil" w:color="auto" w:fill="auto"/>
          <w:vertAlign w:val="baseline"/>
          <w14:textFill>
            <w14:solidFill>
              <w14:srgbClr w14:val="030303"/>
            </w14:solidFill>
          </w14:textFill>
        </w:rPr>
        <w:tab/>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day of </w:t>
      </w:r>
      <w:r>
        <w:rPr>
          <w:caps w:val="0"/>
          <w:smallCaps w:val="0"/>
          <w:strike w:val="0"/>
          <w:dstrike w:val="0"/>
          <w:outline w:val="0"/>
          <w:color w:val="030303"/>
          <w:sz w:val="27"/>
          <w:szCs w:val="27"/>
          <w:u w:val="single" w:color="030303"/>
          <w:shd w:val="nil" w:color="auto" w:fill="auto"/>
          <w:vertAlign w:val="baseline"/>
          <w14:textFill>
            <w14:solidFill>
              <w14:srgbClr w14:val="030303"/>
            </w14:solidFill>
          </w14:textFill>
        </w:rPr>
        <w:tab/>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_, </w:t>
      </w:r>
      <w:r>
        <w:rPr>
          <w:rFonts w:ascii="Arial" w:hAnsi="Arial"/>
          <w:b w:val="1"/>
          <w:bCs w:val="1"/>
          <w:i w:val="1"/>
          <w:iCs w:val="1"/>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20.</w:t>
      </w:r>
    </w:p>
    <w:p>
      <w:pPr>
        <w:pStyle w:val="Body"/>
        <w:ind w:left="374"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Notary Public</w:t>
      </w:r>
    </w:p>
    <w:p>
      <w:pPr>
        <w:pStyle w:val="Body"/>
        <w:tabs>
          <w:tab w:val="left" w:pos="4249"/>
        </w:tabs>
        <w:ind w:left="361"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b w:val="1"/>
          <w:bCs w:val="1"/>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STATE OF TEXAS)</w:t>
        <w:tab/>
      </w:r>
      <w:r>
        <w:rPr>
          <w:caps w:val="0"/>
          <w:smallCaps w:val="0"/>
          <w:strike w:val="0"/>
          <w:dstrike w:val="0"/>
          <w:outline w:val="0"/>
          <w:color w:val="030303"/>
          <w:sz w:val="27"/>
          <w:szCs w:val="27"/>
          <w:u w:val="none" w:color="030303"/>
          <w:shd w:val="nil" w:color="auto" w:fill="auto"/>
          <w:vertAlign w:val="baseline"/>
          <w:rtl w:val="0"/>
          <w:lang w:val="pt-PT"/>
          <w14:textFill>
            <w14:solidFill>
              <w14:srgbClr w14:val="030303"/>
            </w14:solidFill>
          </w14:textFill>
        </w:rPr>
        <w:t xml:space="preserve">) ss. </w:t>
      </w:r>
      <w:r>
        <w:rPr>
          <w:b w:val="1"/>
          <w:bCs w:val="1"/>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COUNTY OF </w:t>
      </w:r>
      <w:r>
        <w:rPr>
          <w:b w:val="1"/>
          <w:bCs w:val="1"/>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{county}</w:t>
      </w:r>
      <w:r>
        <w:rPr>
          <w:b w:val="1"/>
          <w:bCs w:val="1"/>
          <w:caps w:val="0"/>
          <w:smallCaps w:val="0"/>
          <w:strike w:val="0"/>
          <w:dstrike w:val="0"/>
          <w:outline w:val="0"/>
          <w:color w:val="030303"/>
          <w:sz w:val="27"/>
          <w:szCs w:val="27"/>
          <w:u w:val="none" w:color="030303"/>
          <w:shd w:val="nil" w:color="auto" w:fill="auto"/>
          <w:vertAlign w:val="baseline"/>
          <w:rtl w:val="0"/>
          <w14:textFill>
            <w14:solidFill>
              <w14:srgbClr w14:val="030303"/>
            </w14:solidFill>
          </w14:textFill>
        </w:rPr>
        <w:t xml:space="preserve"> </w:t>
      </w:r>
      <w:r>
        <w:rPr>
          <w:caps w:val="0"/>
          <w:smallCaps w:val="0"/>
          <w:strike w:val="0"/>
          <w:dstrike w:val="0"/>
          <w:outline w:val="0"/>
          <w:color w:val="030303"/>
          <w:sz w:val="27"/>
          <w:szCs w:val="27"/>
          <w:u w:val="none" w:color="030303"/>
          <w:shd w:val="nil" w:color="auto" w:fill="auto"/>
          <w:vertAlign w:val="baseline"/>
          <w:rtl w:val="0"/>
          <w14:textFill>
            <w14:solidFill>
              <w14:srgbClr w14:val="030303"/>
            </w14:solidFill>
          </w14:textFill>
        </w:rPr>
        <w:t>)</w:t>
      </w:r>
    </w:p>
    <w:p>
      <w:pPr>
        <w:pStyle w:val="Body"/>
        <w:spacing w:before="261" w:line="278" w:lineRule="auto"/>
        <w:ind w:left="357" w:right="362" w:firstLine="2"/>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Before me, the undersigned authority, on this day personally appeared </w:t>
      </w:r>
      <w:r>
        <w:rPr>
          <w:outline w:val="0"/>
          <w:color w:val="030303"/>
          <w:sz w:val="27"/>
          <w:szCs w:val="27"/>
          <w:u w:color="030303"/>
          <w:rtl w:val="0"/>
          <w:lang w:val="en-US"/>
          <w14:textFill>
            <w14:solidFill>
              <w14:srgbClr w14:val="030303"/>
            </w14:solidFill>
          </w14:textFill>
        </w:rPr>
        <w:t xml:space="preserve">{wifeFullName},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known to me (or proved to me by satisfactory evidence) to be the person whose name is subscribed to the foregoing instrument, and acknowledged that she executed the same for the purposes and consideration therein expressed.</w:t>
      </w:r>
    </w:p>
    <w:p>
      <w:pPr>
        <w:pStyle w:val="Body"/>
        <w:tabs>
          <w:tab w:val="left" w:pos="6219"/>
          <w:tab w:val="left" w:pos="8040"/>
        </w:tabs>
        <w:spacing w:before="199"/>
        <w:ind w:left="361" w:firstLine="0"/>
        <w:rPr>
          <w:rFonts w:ascii="Arial" w:cs="Arial" w:hAnsi="Arial" w:eastAsia="Arial"/>
          <w:b w:val="1"/>
          <w:bCs w:val="1"/>
          <w:i w:val="1"/>
          <w:iCs w:val="1"/>
          <w:caps w:val="0"/>
          <w:smallCaps w:val="0"/>
          <w:strike w:val="0"/>
          <w:dstrike w:val="0"/>
          <w:outline w:val="0"/>
          <w:color w:val="000000"/>
          <w:sz w:val="24"/>
          <w:szCs w:val="24"/>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Given under my hand and seal of office on this </w:t>
      </w:r>
      <w:r>
        <w:rPr>
          <w:caps w:val="0"/>
          <w:smallCaps w:val="0"/>
          <w:strike w:val="0"/>
          <w:dstrike w:val="0"/>
          <w:outline w:val="0"/>
          <w:color w:val="030303"/>
          <w:sz w:val="27"/>
          <w:szCs w:val="27"/>
          <w:u w:val="single" w:color="030303"/>
          <w:shd w:val="nil" w:color="auto" w:fill="auto"/>
          <w:vertAlign w:val="baseline"/>
          <w14:textFill>
            <w14:solidFill>
              <w14:srgbClr w14:val="030303"/>
            </w14:solidFill>
          </w14:textFill>
        </w:rPr>
        <w:tab/>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day of </w:t>
      </w:r>
      <w:r>
        <w:rPr>
          <w:caps w:val="0"/>
          <w:smallCaps w:val="0"/>
          <w:strike w:val="0"/>
          <w:dstrike w:val="0"/>
          <w:outline w:val="0"/>
          <w:color w:val="030303"/>
          <w:sz w:val="27"/>
          <w:szCs w:val="27"/>
          <w:u w:val="single" w:color="030303"/>
          <w:shd w:val="nil" w:color="auto" w:fill="auto"/>
          <w:vertAlign w:val="baseline"/>
          <w14:textFill>
            <w14:solidFill>
              <w14:srgbClr w14:val="030303"/>
            </w14:solidFill>
          </w14:textFill>
        </w:rPr>
        <w:tab/>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_, </w:t>
      </w:r>
      <w:r>
        <w:rPr>
          <w:rFonts w:ascii="Arial" w:hAnsi="Arial"/>
          <w:b w:val="1"/>
          <w:bCs w:val="1"/>
          <w:i w:val="1"/>
          <w:iCs w:val="1"/>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20.</w:t>
      </w:r>
    </w:p>
    <w:p>
      <w:pPr>
        <w:pStyle w:val="Body"/>
        <w:ind w:left="369"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Notary Public</w:t>
      </w:r>
    </w:p>
    <w:p>
      <w:pPr>
        <w:pStyle w:val="Body"/>
        <w:spacing w:before="1"/>
        <w:ind w:left="362" w:firstLine="0"/>
      </w:pPr>
      <w:r>
        <w:rPr>
          <w:rFonts w:ascii="Arial Unicode MS" w:cs="Arial Unicode MS" w:hAnsi="Arial Unicode MS" w:eastAsia="Arial Unicode MS"/>
          <w:b w:val="0"/>
          <w:bCs w:val="0"/>
          <w:i w:val="0"/>
          <w:iCs w:val="0"/>
        </w:rPr>
        <w:br w:type="page"/>
      </w:r>
    </w:p>
    <w:p>
      <w:pPr>
        <w:pStyle w:val="Heading 2"/>
        <w:spacing w:before="1"/>
        <w:ind w:left="362" w:firstLine="0"/>
      </w:pPr>
      <w:r>
        <w:rPr>
          <w:outline w:val="0"/>
          <w:color w:val="030303"/>
          <w:u w:color="030303"/>
          <w:rtl w:val="0"/>
          <w:lang w:val="de-DE"/>
          <w14:textFill>
            <w14:solidFill>
              <w14:srgbClr w14:val="030303"/>
            </w14:solidFill>
          </w14:textFill>
        </w:rPr>
        <w:t>SCHEDULE A</w:t>
      </w:r>
    </w:p>
    <w:p>
      <w:pPr>
        <w:pStyle w:val="heading 4"/>
        <w:ind w:firstLine="358"/>
      </w:pPr>
      <w:r>
        <w:rPr>
          <w:outline w:val="0"/>
          <w:color w:val="030303"/>
          <w:u w:color="030303"/>
          <w:rtl w:val="0"/>
          <w:lang w:val="en-US"/>
          <w14:textFill>
            <w14:solidFill>
              <w14:srgbClr w14:val="030303"/>
            </w14:solidFill>
          </w14:textFill>
        </w:rPr>
        <w:t>Property Schedule and Ownership Designation</w:t>
      </w:r>
    </w:p>
    <w:p>
      <w:pPr>
        <w:pStyle w:val="Body"/>
        <w:spacing w:before="221" w:line="278" w:lineRule="auto"/>
        <w:ind w:left="361" w:right="273" w:hanging="3"/>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This Schedule is a roadmap for the Trustee identifying major assets. It is not a complete inventory of everything the Grantors own. List major assets only — such as the home, bank and investment accounts, retirement accounts, business interests, real estate, and high-value personal items. Do not list motor vehicles or ordinary household items. This Schedule may be amended from time to time in handwriting by crossing out existing items or writing additional items in, provided the amending Grantor initials and dates any addition or deletion.</w:t>
      </w:r>
    </w:p>
    <w:p>
      <w:pPr>
        <w:pStyle w:val="Body"/>
      </w:pPr>
      <w:r>
        <w:rPr>
          <w:rtl w:val="0"/>
          <w:lang w:val="it-IT"/>
        </w:rPr>
        <w:t>{#isAssetAllocation}</w:t>
      </w:r>
    </w:p>
    <w:p>
      <w:pPr>
        <w:pStyle w:val="Body"/>
        <w:spacing w:before="217"/>
        <w:ind w:left="361" w:firstLine="0"/>
        <w:rPr>
          <w:b w:val="1"/>
          <w:bCs w:val="1"/>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b w:val="1"/>
          <w:bCs w:val="1"/>
          <w:caps w:val="0"/>
          <w:smallCaps w:val="0"/>
          <w:strike w:val="0"/>
          <w:dstrike w:val="0"/>
          <w:outline w:val="0"/>
          <w:color w:val="030303"/>
          <w:sz w:val="27"/>
          <w:szCs w:val="27"/>
          <w:u w:val="none" w:color="030303"/>
          <w:shd w:val="nil" w:color="auto" w:fill="auto"/>
          <w:vertAlign w:val="baseline"/>
          <w:rtl w:val="0"/>
          <w:lang w:val="fr-FR"/>
          <w14:textFill>
            <w14:solidFill>
              <w14:srgbClr w14:val="030303"/>
            </w14:solidFill>
          </w14:textFill>
        </w:rPr>
        <w:t>Section 1 - Major Asset Ownership</w:t>
      </w:r>
    </w:p>
    <w:p>
      <w:pPr>
        <w:pStyle w:val="Body"/>
        <w:tabs>
          <w:tab w:val="left" w:pos="9199"/>
        </w:tabs>
        <w:spacing w:before="75" w:line="304" w:lineRule="auto"/>
        <w:ind w:left="353" w:right="942" w:hanging="2"/>
        <w:rPr>
          <w:rFonts w:ascii="Arial" w:cs="Arial" w:hAnsi="Arial" w:eastAsia="Arial"/>
          <w:i w:val="1"/>
          <w:iCs w:val="1"/>
          <w:sz w:val="24"/>
          <w:szCs w:val="24"/>
        </w:rPr>
      </w:pPr>
      <w:r>
        <w:rPr>
          <w:rFonts w:ascii="Arial" w:hAnsi="Arial"/>
          <w:i w:val="1"/>
          <w:iCs w:val="1"/>
          <w:outline w:val="0"/>
          <w:color w:val="030303"/>
          <w:sz w:val="24"/>
          <w:szCs w:val="24"/>
          <w:u w:color="030303"/>
          <w:rtl w:val="0"/>
          <w:lang w:val="en-US"/>
          <w14:textFill>
            <w14:solidFill>
              <w14:srgbClr w14:val="030303"/>
            </w14:solidFill>
          </w14:textFill>
        </w:rPr>
        <w:t>This Section designates the Islamic ownership of major assets. List each major asset and indicate which spouse Islamically owns it, or whether ownership is shared 50/50. Do not list motor vehicles or ordinary household items. Any community property asset not listed here will be allocated 50/50 by default for Islamic distribution purposes.</w:t>
      </w:r>
      <w:r>
        <w:rPr>
          <w:rFonts w:ascii="Arial" w:hAnsi="Arial"/>
          <w:outline w:val="0"/>
          <w:color w:val="030303"/>
          <w:sz w:val="24"/>
          <w:szCs w:val="24"/>
          <w:u w:color="030303"/>
          <w:rtl w:val="0"/>
          <w14:textFill>
            <w14:solidFill>
              <w14:srgbClr w14:val="030303"/>
            </w14:solidFill>
          </w14:textFill>
        </w:rPr>
      </w:r>
      <w:r>
        <w:rPr>
          <w:rFonts w:ascii="Arial" w:hAnsi="Arial"/>
          <w:i w:val="1"/>
          <w:iCs w:val="1"/>
          <w:outline w:val="0"/>
          <w:color w:val="030303"/>
          <w:sz w:val="24"/>
          <w:szCs w:val="24"/>
          <w:u w:color="030303"/>
          <w:rtl w:val="0"/>
          <w:lang w:val="en-US"/>
          <w14:textFill>
            <w14:solidFill>
              <w14:srgbClr w14:val="030303"/>
            </w14:solidFill>
          </w14:textFill>
        </w:rPr>
      </w:r>
      <w:r>
        <w:rPr>
          <w:outline w:val="0"/>
          <w:color w:val="030303"/>
          <w:sz w:val="26"/>
          <w:szCs w:val="26"/>
          <w:u w:color="030303"/>
          <w:rtl w:val="0"/>
          <w14:textFill>
            <w14:solidFill>
              <w14:srgbClr w14:val="030303"/>
            </w14:solidFill>
          </w14:textFill>
        </w:rPr>
      </w:r>
      <w:r>
        <w:rPr>
          <w:rFonts w:ascii="Arial" w:hAnsi="Arial"/>
          <w:i w:val="1"/>
          <w:iCs w:val="1"/>
          <w:outline w:val="0"/>
          <w:color w:val="030303"/>
          <w:sz w:val="24"/>
          <w:szCs w:val="24"/>
          <w:u w:color="030303"/>
          <w:rtl w:val="0"/>
          <w:lang w:val="en-US"/>
          <w14:textFill>
            <w14:solidFill>
              <w14:srgbClr w14:val="030303"/>
            </w14:solidFill>
          </w14:textFill>
        </w:rPr>
      </w:r>
    </w:p>
    <w:p>
      <w:pPr>
        <w:pStyle w:val="Body"/>
        <w:tabs>
          <w:tab w:val="left" w:pos="3407"/>
          <w:tab w:val="left" w:pos="8253"/>
        </w:tabs>
        <w:spacing w:before="1"/>
        <w:ind w:left="497" w:firstLine="0"/>
        <w:rPr>
          <w:b w:val="1"/>
          <w:bCs w:val="1"/>
          <w:outline w:val="0"/>
          <w:color w:val="030303"/>
          <w:sz w:val="23"/>
          <w:szCs w:val="23"/>
          <w:u w:color="030303"/>
          <w14:textFill>
            <w14:solidFill>
              <w14:srgbClr w14:val="030303"/>
            </w14:solidFill>
          </w14:textFill>
        </w:rPr>
      </w:pPr>
    </w:p>
    <w:tbl>
      <w:tblPr>
        <w:tblW w:w="11022" w:type="dxa"/>
        <w:jc w:val="left"/>
        <w:tblInd w:w="60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74"/>
        <w:gridCol w:w="3674"/>
        <w:gridCol w:w="3674"/>
      </w:tblGrid>
      <w:tr>
        <w:tblPrEx>
          <w:shd w:val="clear" w:color="auto" w:fill="ced7e7"/>
        </w:tblPrEx>
        <w:trPr>
          <w:trHeight w:val="31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r>
              <w:t>Asset</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Ownership</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Account ID</w:t>
            </w:r>
          </w:p>
        </w:tc>
      </w:tr>
      <w:tr>
        <w:tblPrEx>
          <w:shd w:val="clear" w:color="auto" w:fill="ced7e7"/>
        </w:tblPrEx>
        <w:trPr>
          <w:trHeight w:val="25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{#assetAllocation}{assetName}</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{owner}</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{accountId}{/assetAllocation}</w:t>
            </w: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r>
    </w:tbl>
    <w:p>
      <w:pPr>
        <w:pStyle w:val="Body"/>
        <w:tabs>
          <w:tab w:val="left" w:pos="3407"/>
          <w:tab w:val="left" w:pos="8253"/>
        </w:tabs>
        <w:spacing w:before="1"/>
        <w:ind w:left="497" w:hanging="497"/>
        <w:rPr>
          <w:b w:val="1"/>
          <w:bCs w:val="1"/>
          <w:outline w:val="0"/>
          <w:color w:val="030303"/>
          <w:sz w:val="23"/>
          <w:szCs w:val="23"/>
          <w:u w:color="030303"/>
          <w14:textFill>
            <w14:solidFill>
              <w14:srgbClr w14:val="030303"/>
            </w14:solidFill>
          </w14:textFill>
        </w:rPr>
      </w:pPr>
    </w:p>
    <w:p>
      <w:pPr>
        <w:pStyle w:val="Body"/>
        <w:tabs>
          <w:tab w:val="left" w:pos="3407"/>
          <w:tab w:val="left" w:pos="8253"/>
        </w:tabs>
        <w:spacing w:before="1"/>
        <w:ind w:left="497" w:firstLine="0"/>
        <w:rPr>
          <w:b w:val="1"/>
          <w:bCs w:val="1"/>
          <w:outline w:val="0"/>
          <w:color w:val="030303"/>
          <w:sz w:val="23"/>
          <w:szCs w:val="23"/>
          <w:u w:color="030303"/>
          <w14:textFill>
            <w14:solidFill>
              <w14:srgbClr w14:val="030303"/>
            </w14:solidFill>
          </w14:textFill>
        </w:rPr>
      </w:pPr>
    </w:p>
    <w:p>
      <w:pPr>
        <w:pStyle w:val="Body"/>
        <w:tabs>
          <w:tab w:val="left" w:pos="2926"/>
          <w:tab w:val="left" w:pos="7010"/>
        </w:tabs>
        <w:ind w:left="497" w:firstLine="0"/>
        <w:rPr>
          <w:b w:val="1"/>
          <w:bCs w:val="1"/>
          <w:outline w:val="0"/>
          <w:color w:val="030303"/>
          <w:sz w:val="24"/>
          <w:szCs w:val="24"/>
          <w:u w:color="030303"/>
          <w14:textFill>
            <w14:solidFill>
              <w14:srgbClr w14:val="030303"/>
            </w14:solidFill>
          </w14:textFill>
        </w:rPr>
      </w:pPr>
    </w:p>
    <w:p>
      <w:pPr>
        <w:pStyle w:val="Body"/>
        <w:spacing w:line="300" w:lineRule="auto"/>
        <w:ind w:left="363" w:hanging="2"/>
        <w:rPr>
          <w:rFonts w:ascii="Arial" w:cs="Arial" w:hAnsi="Arial" w:eastAsia="Arial"/>
          <w:i w:val="1"/>
          <w:iCs w:val="1"/>
          <w:sz w:val="24"/>
          <w:szCs w:val="24"/>
        </w:rPr>
      </w:pPr>
      <w:r>
        <w:rPr>
          <w:rFonts w:ascii="Arial" w:hAnsi="Arial"/>
          <w:i w:val="1"/>
          <w:iCs w:val="1"/>
          <w:outline w:val="0"/>
          <w:color w:val="030303"/>
          <w:sz w:val="24"/>
          <w:szCs w:val="24"/>
          <w:u w:color="030303"/>
          <w:rtl w:val="0"/>
          <w:lang w:val="en-US"/>
          <w14:textFill>
            <w14:solidFill>
              <w14:srgbClr w14:val="030303"/>
            </w14:solidFill>
          </w14:textFill>
        </w:rPr>
        <w:t>Any community property asset not listed in this Section shall default to a 50/50 allocation for purposes of Islamic distribution under Article Twelve. This is a practical default, not a religious ruling about who really owns the asset.</w:t>
      </w:r>
      <w:r>
        <w:rPr>
          <w:outline w:val="0"/>
          <w:color w:val="030303"/>
          <w:sz w:val="26"/>
          <w:szCs w:val="26"/>
          <w:u w:color="030303"/>
          <w:rtl w:val="0"/>
          <w14:textFill>
            <w14:solidFill>
              <w14:srgbClr w14:val="030303"/>
            </w14:solidFill>
          </w14:textFill>
        </w:rPr>
      </w:r>
      <w:r>
        <w:rPr>
          <w:rFonts w:ascii="Arial" w:hAnsi="Arial"/>
          <w:i w:val="1"/>
          <w:iCs w:val="1"/>
          <w:outline w:val="0"/>
          <w:color w:val="030303"/>
          <w:sz w:val="24"/>
          <w:szCs w:val="24"/>
          <w:u w:color="030303"/>
          <w:rtl w:val="0"/>
          <w:lang w:val="en-US"/>
          <w14:textFill>
            <w14:solidFill>
              <w14:srgbClr w14:val="030303"/>
            </w14:solidFill>
          </w14:textFill>
        </w:rPr>
      </w:r>
    </w:p>
    <w:p>
      <w:pPr>
        <w:pStyle w:val="Body"/>
      </w:pPr>
      <w:r>
        <w:rPr>
          <w:rtl w:val="0"/>
          <w:lang w:val="it-IT"/>
        </w:rPr>
        <w:t>{/isAssetAllocation}</w:t>
      </w:r>
    </w:p>
    <w:p>
      <w:pPr>
        <w:pStyle w:val="Body"/>
        <w:ind w:left="361" w:firstLine="0"/>
        <w:rPr>
          <w:b w:val="1"/>
          <w:bCs w:val="1"/>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b w:val="1"/>
          <w:bCs w:val="1"/>
          <w:caps w:val="0"/>
          <w:smallCaps w:val="0"/>
          <w:strike w:val="0"/>
          <w:dstrike w:val="0"/>
          <w:outline w:val="0"/>
          <w:color w:val="030303"/>
          <w:sz w:val="27"/>
          <w:szCs w:val="27"/>
          <w:u w:val="none" w:color="030303"/>
          <w:shd w:val="nil" w:color="auto" w:fill="auto"/>
          <w:vertAlign w:val="baseline"/>
          <w:rtl w:val="0"/>
          <w:lang w:val="fr-FR"/>
          <w14:textFill>
            <w14:solidFill>
              <w14:srgbClr w14:val="030303"/>
            </w14:solidFill>
          </w14:textFill>
        </w:rPr>
        <w:t>{#isHeba}</w:t>
      </w:r>
    </w:p>
    <w:p>
      <w:pPr>
        <w:pStyle w:val="Body"/>
        <w:spacing w:before="293" w:line="314" w:lineRule="auto"/>
        <w:ind w:left="354" w:right="362" w:hanging="3"/>
        <w:rPr>
          <w:rFonts w:ascii="Arial" w:cs="Arial" w:hAnsi="Arial" w:eastAsia="Arial"/>
          <w:i w:val="1"/>
          <w:iCs w:val="1"/>
          <w:sz w:val="24"/>
          <w:szCs w:val="24"/>
        </w:rPr>
      </w:pPr>
      <w:r>
        <w:rPr>
          <w:rFonts w:ascii="Arial" w:hAnsi="Arial"/>
          <w:i w:val="1"/>
          <w:iCs w:val="1"/>
          <w:outline w:val="0"/>
          <w:color w:val="030303"/>
          <w:sz w:val="24"/>
          <w:szCs w:val="24"/>
          <w:u w:color="030303"/>
          <w:rtl w:val="0"/>
          <w:lang w:val="en-US"/>
          <w14:textFill>
            <w14:solidFill>
              <w14:srgbClr w14:val="030303"/>
            </w14:solidFill>
          </w14:textFill>
        </w:rPr>
        <w:t>Section 1 - Major Assets</w:t>
      </w:r>
    </w:p>
    <w:p>
      <w:pPr>
        <w:pStyle w:val="Body"/>
        <w:tabs>
          <w:tab w:val="left" w:pos="3407"/>
          <w:tab w:val="left" w:pos="8253"/>
        </w:tabs>
        <w:spacing w:before="1"/>
        <w:ind w:left="497" w:firstLine="0"/>
        <w:rPr>
          <w:b w:val="1"/>
          <w:bCs w:val="1"/>
          <w:outline w:val="0"/>
          <w:color w:val="030303"/>
          <w:sz w:val="23"/>
          <w:szCs w:val="23"/>
          <w:u w:color="030303"/>
          <w14:textFill>
            <w14:solidFill>
              <w14:srgbClr w14:val="030303"/>
            </w14:solidFill>
          </w14:textFill>
        </w:rPr>
      </w:pPr>
      <w:r>
        <w:t>Because the Grantors elected the mutual heba, Islamic ownership of community property is shared equally. This Section lists major assets as a roadmap for the Trustee. Do not list motor vehicles or ordinary household items. Account identifiers, if any, should use only the last four digits or a short reference.</w:t>
      </w:r>
    </w:p>
    <w:tbl>
      <w:tblPr>
        <w:tblW w:w="11022" w:type="dxa"/>
        <w:jc w:val="left"/>
        <w:tblInd w:w="60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511"/>
        <w:gridCol w:w="5511"/>
      </w:tblGrid>
      <w:tr>
        <w:tblPrEx>
          <w:shd w:val="clear" w:color="auto" w:fill="ced7e7"/>
        </w:tblPrEx>
        <w:trPr>
          <w:trHeight w:val="310" w:hRule="atLeast"/>
        </w:trPr>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r>
              <w:t>Asset</w:t>
            </w:r>
          </w:p>
        </w:tc>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Account ID</w:t>
            </w:r>
          </w:p>
        </w:tc>
      </w:tr>
      <w:tr>
        <w:tblPrEx>
          <w:shd w:val="clear" w:color="auto" w:fill="ced7e7"/>
        </w:tblPrEx>
        <w:trPr>
          <w:trHeight w:val="250" w:hRule="atLeast"/>
        </w:trPr>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{#hebaAssets}{assetName}</w:t>
            </w:r>
          </w:p>
        </w:tc>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{accountId}{/hebaAssets}</w:t>
            </w:r>
          </w:p>
        </w:tc>
      </w:tr>
      <w:tr>
        <w:tblPrEx>
          <w:shd w:val="clear" w:color="auto" w:fill="ced7e7"/>
        </w:tblPrEx>
        <w:trPr>
          <w:trHeight w:val="420" w:hRule="atLeast"/>
        </w:trPr>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r>
      <w:tr>
        <w:tblPrEx>
          <w:shd w:val="clear" w:color="auto" w:fill="ced7e7"/>
        </w:tblPrEx>
        <w:trPr>
          <w:trHeight w:val="420" w:hRule="atLeast"/>
        </w:trPr>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r>
      <w:tr>
        <w:tblPrEx>
          <w:shd w:val="clear" w:color="auto" w:fill="ced7e7"/>
        </w:tblPrEx>
        <w:trPr>
          <w:trHeight w:val="420" w:hRule="atLeast"/>
        </w:trPr>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r>
      <w:tr>
        <w:tblPrEx>
          <w:shd w:val="clear" w:color="auto" w:fill="ced7e7"/>
        </w:tblPrEx>
        <w:trPr>
          <w:trHeight w:val="420" w:hRule="atLeast"/>
        </w:trPr>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r>
    </w:tbl>
    <w:p>
      <w:pPr>
        <w:pStyle w:val="Body"/>
        <w:tabs>
          <w:tab w:val="left" w:pos="3407"/>
          <w:tab w:val="left" w:pos="8253"/>
        </w:tabs>
        <w:spacing w:before="1"/>
        <w:ind w:left="497" w:hanging="497"/>
        <w:rPr>
          <w:b w:val="1"/>
          <w:bCs w:val="1"/>
          <w:outline w:val="0"/>
          <w:color w:val="030303"/>
          <w:sz w:val="23"/>
          <w:szCs w:val="23"/>
          <w:u w:color="030303"/>
          <w14:textFill>
            <w14:solidFill>
              <w14:srgbClr w14:val="030303"/>
            </w14:solidFill>
          </w14:textFill>
        </w:rPr>
      </w:pPr>
    </w:p>
    <w:p>
      <w:pPr>
        <w:pStyle w:val="Body"/>
        <w:tabs>
          <w:tab w:val="left" w:pos="4375"/>
        </w:tabs>
        <w:rPr>
          <w:b w:val="1"/>
          <w:bCs w:val="1"/>
          <w:outline w:val="0"/>
          <w:color w:val="030303"/>
          <w:sz w:val="24"/>
          <w:szCs w:val="24"/>
          <w:u w:color="030303"/>
          <w14:textFill>
            <w14:solidFill>
              <w14:srgbClr w14:val="030303"/>
            </w14:solidFill>
          </w14:textFill>
        </w:rPr>
      </w:pPr>
    </w:p>
    <w:p>
      <w:pPr>
        <w:pStyle w:val="Body"/>
        <w:tabs>
          <w:tab w:val="left" w:pos="4375"/>
        </w:tabs>
        <w:rPr>
          <w:b w:val="1"/>
          <w:bCs w:val="1"/>
          <w:outline w:val="0"/>
          <w:color w:val="030303"/>
          <w:sz w:val="24"/>
          <w:szCs w:val="24"/>
          <w:u w:color="030303"/>
          <w14:textFill>
            <w14:solidFill>
              <w14:srgbClr w14:val="030303"/>
            </w14:solidFill>
          </w14:textFill>
        </w:rPr>
      </w:pPr>
    </w:p>
    <w:p>
      <w:pPr>
        <w:pStyle w:val="Body"/>
        <w:spacing w:line="312" w:lineRule="auto"/>
        <w:ind w:left="362" w:right="497" w:hanging="12"/>
        <w:rPr>
          <w:rFonts w:ascii="Arial" w:cs="Arial" w:hAnsi="Arial" w:eastAsia="Arial"/>
          <w:i w:val="1"/>
          <w:iCs w:val="1"/>
          <w:sz w:val="24"/>
          <w:szCs w:val="24"/>
        </w:rPr>
      </w:pPr>
      <w:r>
        <w:rPr>
          <w:rFonts w:ascii="Arial" w:hAnsi="Arial"/>
          <w:i w:val="1"/>
          <w:iCs w:val="1"/>
          <w:outline w:val="0"/>
          <w:color w:val="030303"/>
          <w:sz w:val="24"/>
          <w:szCs w:val="24"/>
          <w:u w:color="030303"/>
          <w:rtl w:val="0"/>
          <w:lang w:val="en-US"/>
          <w14:textFill>
            <w14:solidFill>
              <w14:srgbClr w14:val="030303"/>
            </w14:solidFill>
          </w14:textFill>
        </w:rPr>
        <w:t>The Grantors are encouraged to update this Section when major assets are acquired or sold, by crossing out, writing in, initialing, and dating changes on the printed schedule.</w:t>
      </w:r>
    </w:p>
    <w:p>
      <w:pPr>
        <w:pStyle w:val="Body"/>
        <w:ind w:left="361" w:firstLine="0"/>
        <w:rPr>
          <w:b w:val="1"/>
          <w:bCs w:val="1"/>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b w:val="1"/>
          <w:bCs w:val="1"/>
          <w:caps w:val="0"/>
          <w:smallCaps w:val="0"/>
          <w:strike w:val="0"/>
          <w:dstrike w:val="0"/>
          <w:outline w:val="0"/>
          <w:color w:val="030303"/>
          <w:sz w:val="27"/>
          <w:szCs w:val="27"/>
          <w:u w:val="none" w:color="030303"/>
          <w:shd w:val="nil" w:color="auto" w:fill="auto"/>
          <w:vertAlign w:val="baseline"/>
          <w:rtl w:val="0"/>
          <w:lang w:val="fr-FR"/>
          <w14:textFill>
            <w14:solidFill>
              <w14:srgbClr w14:val="030303"/>
            </w14:solidFill>
          </w14:textFill>
        </w:rPr>
        <w:t>{/isHeba}</w:t>
      </w:r>
    </w:p>
    <w:p>
      <w:pPr>
        <w:pStyle w:val="Heading 2"/>
        <w:ind w:firstLine="362"/>
      </w:pPr>
      <w:r>
        <w:rPr>
          <w:outline w:val="0"/>
          <w:color w:val="030303"/>
          <w:u w:color="030303"/>
          <w:rtl w:val="0"/>
          <w:lang w:val="de-DE"/>
          <w14:textFill>
            <w14:solidFill>
              <w14:srgbClr w14:val="030303"/>
            </w14:solidFill>
          </w14:textFill>
        </w:rPr>
        <w:t>SCHEDULE B</w:t>
      </w:r>
    </w:p>
    <w:p>
      <w:pPr>
        <w:pStyle w:val="Heading 3"/>
        <w:tabs>
          <w:tab w:val="left" w:pos="4218"/>
        </w:tabs>
        <w:ind w:firstLine="359"/>
      </w:pPr>
      <w:r>
        <w:rPr>
          <w:outline w:val="0"/>
          <w:color w:val="030303"/>
          <w:u w:color="030303"/>
          <w:rtl w:val="0"/>
          <w:lang w:val="en-US"/>
          <w14:textFill>
            <w14:solidFill>
              <w14:srgbClr w14:val="030303"/>
            </w14:solidFill>
          </w14:textFill>
        </w:rPr>
        <w:t>Islamic Law of Inheritance -</w:t>
        <w:tab/>
        <w:t>Governing Rules</w:t>
      </w:r>
    </w:p>
    <w:p>
      <w:pPr>
        <w:pStyle w:val="Body"/>
        <w:numPr>
          <w:ilvl w:val="0"/>
          <w:numId w:val="80"/>
        </w:numPr>
        <w:bidi w:val="0"/>
        <w:spacing w:before="76"/>
        <w:ind w:right="0"/>
        <w:jc w:val="left"/>
        <w:rPr>
          <w:sz w:val="26"/>
          <w:szCs w:val="26"/>
          <w:rtl w:val="0"/>
          <w:lang w:val="en-US"/>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Hierarchy of Distribution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Upon the death of a Grantor, the Trustee shall:</w:t>
      </w:r>
    </w:p>
    <w:p>
      <w:pPr>
        <w:pStyle w:val="Body"/>
        <w:numPr>
          <w:ilvl w:val="1"/>
          <w:numId w:val="80"/>
        </w:numPr>
        <w:bidi w:val="0"/>
        <w:spacing w:before="141"/>
        <w:ind w:right="0"/>
        <w:jc w:val="left"/>
        <w:rPr>
          <w:sz w:val="27"/>
          <w:szCs w:val="27"/>
          <w:rtl w:val="0"/>
          <w:lang w:val="en-US"/>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Identify all heirs living at the time of death;</w:t>
      </w:r>
    </w:p>
    <w:p>
      <w:pPr>
        <w:pStyle w:val="Body"/>
        <w:numPr>
          <w:ilvl w:val="1"/>
          <w:numId w:val="81"/>
        </w:numPr>
        <w:bidi w:val="0"/>
        <w:spacing w:before="141"/>
        <w:ind w:right="0"/>
        <w:jc w:val="left"/>
        <w:rPr>
          <w:rFonts w:ascii="Arial" w:hAnsi="Arial"/>
          <w:i w:val="1"/>
          <w:iCs w:val="1"/>
          <w:sz w:val="27"/>
          <w:szCs w:val="27"/>
          <w:rtl w:val="0"/>
          <w:lang w:val="en-US"/>
        </w:rPr>
      </w:pPr>
      <w:r>
        <w:rPr>
          <w:rFonts w:ascii="Times New Roman" w:hAnsi="Times New Roman"/>
          <w:i w:val="0"/>
          <w:iCs w:val="0"/>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Allocate fixed shares to Qur'anic heirs </w:t>
      </w:r>
      <w:r>
        <w:rPr>
          <w:rFonts w:ascii="Arial" w:hAnsi="Arial"/>
          <w:i w:val="1"/>
          <w:iCs w:val="1"/>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(Dhawil Furood);</w:t>
      </w:r>
    </w:p>
    <w:p>
      <w:pPr>
        <w:pStyle w:val="Body"/>
        <w:numPr>
          <w:ilvl w:val="1"/>
          <w:numId w:val="82"/>
        </w:numPr>
        <w:bidi w:val="0"/>
        <w:spacing w:before="156"/>
        <w:ind w:right="0"/>
        <w:jc w:val="left"/>
        <w:rPr>
          <w:rFonts w:ascii="Arial" w:hAnsi="Arial"/>
          <w:i w:val="1"/>
          <w:iCs w:val="1"/>
          <w:sz w:val="27"/>
          <w:szCs w:val="27"/>
          <w:rtl w:val="0"/>
          <w:lang w:val="en-US"/>
        </w:rPr>
      </w:pPr>
      <w:r>
        <w:rPr>
          <w:rFonts w:ascii="Times New Roman" w:hAnsi="Times New Roman"/>
          <w:i w:val="0"/>
          <w:iCs w:val="0"/>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Distribute the residue to residuary heirs </w:t>
      </w:r>
      <w:r>
        <w:rPr>
          <w:rFonts w:ascii="Arial" w:hAnsi="Arial"/>
          <w:i w:val="1"/>
          <w:iCs w:val="1"/>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(Asabah);</w:t>
      </w:r>
    </w:p>
    <w:p>
      <w:pPr>
        <w:pStyle w:val="Body"/>
        <w:numPr>
          <w:ilvl w:val="1"/>
          <w:numId w:val="80"/>
        </w:numPr>
        <w:bidi w:val="0"/>
        <w:spacing w:before="136"/>
        <w:ind w:right="0"/>
        <w:jc w:val="left"/>
        <w:rPr>
          <w:sz w:val="27"/>
          <w:szCs w:val="27"/>
          <w:rtl w:val="0"/>
          <w:lang w:val="en-US"/>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Apply the doctrine of </w:t>
      </w:r>
      <w:r>
        <w:rPr>
          <w:rFonts w:ascii="Arial" w:hAnsi="Arial"/>
          <w:i w:val="1"/>
          <w:iCs w:val="1"/>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 xml:space="preserve">Radd,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if applicable under the selected school; and</w:t>
      </w:r>
    </w:p>
    <w:p>
      <w:pPr>
        <w:pStyle w:val="Body"/>
        <w:numPr>
          <w:ilvl w:val="1"/>
          <w:numId w:val="83"/>
        </w:numPr>
        <w:bidi w:val="0"/>
        <w:spacing w:before="156" w:line="304" w:lineRule="auto"/>
        <w:ind w:right="423"/>
        <w:jc w:val="left"/>
        <w:rPr>
          <w:sz w:val="27"/>
          <w:szCs w:val="27"/>
          <w:rtl w:val="0"/>
          <w:lang w:val="en-US"/>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If no Qur'anic or residuary heirs exist, distribute to distant kindred </w:t>
      </w:r>
      <w:r>
        <w:rPr>
          <w:rFonts w:ascii="Arial" w:hAnsi="Arial"/>
          <w:i w:val="1"/>
          <w:iCs w:val="1"/>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 xml:space="preserve">(Dhawil Arham)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in accordance with the selected school.</w:t>
      </w:r>
    </w:p>
    <w:p>
      <w:pPr>
        <w:pStyle w:val="Body"/>
        <w:numPr>
          <w:ilvl w:val="0"/>
          <w:numId w:val="84"/>
        </w:numPr>
        <w:bidi w:val="0"/>
        <w:spacing w:before="129" w:line="304" w:lineRule="auto"/>
        <w:ind w:right="481"/>
        <w:jc w:val="left"/>
        <w:rPr>
          <w:sz w:val="26"/>
          <w:szCs w:val="26"/>
          <w:rtl w:val="0"/>
          <w:lang w:val="en-US"/>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Recalculation Requirement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All shares shall be recalculated as of the date of the Grantor's death based solely on heirs then living and eligible to inherit </w:t>
      </w:r>
      <w:r>
        <w:rPr>
          <w:bCs/>
          <w:b/>
        </w:rPr>
        <w:t>under Islamic law</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Any heir who predeceases the Grantor shall be treated as having no share, and the distribution shall be recomputed accordingly.</w:t>
      </w:r>
    </w:p>
    <w:p>
      <w:pPr>
        <w:pStyle w:val="Body"/>
        <w:numPr>
          <w:ilvl w:val="0"/>
          <w:numId w:val="85"/>
        </w:numPr>
        <w:bidi w:val="0"/>
        <w:spacing w:before="62" w:line="306" w:lineRule="auto"/>
        <w:ind w:right="769"/>
        <w:jc w:val="both"/>
        <w:rPr>
          <w:sz w:val="26"/>
          <w:szCs w:val="26"/>
          <w:rtl w:val="0"/>
          <w:lang w:val="en-US"/>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Exclusion and Blocking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The Trustee shall apply the rules of exclusion </w:t>
      </w:r>
      <w:r>
        <w:rPr>
          <w:rFonts w:ascii="Arial" w:hAnsi="Arial"/>
          <w:i w:val="1"/>
          <w:iCs w:val="1"/>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 xml:space="preserve">(hajb)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under the selected school of jurisprudence, including the exclusion of more remote heirs by nearer heirs.</w:t>
      </w:r>
    </w:p>
    <w:p>
      <w:pPr>
        <w:pStyle w:val="Body"/>
        <w:numPr>
          <w:ilvl w:val="0"/>
          <w:numId w:val="86"/>
        </w:numPr>
        <w:bidi w:val="0"/>
        <w:spacing w:before="52"/>
        <w:ind w:right="0"/>
        <w:jc w:val="both"/>
        <w:rPr>
          <w:sz w:val="26"/>
          <w:szCs w:val="26"/>
          <w:rtl w:val="0"/>
        </w:rPr>
      </w:pPr>
      <w:r>
        <w:rPr>
          <w:b w:val="1"/>
          <w:bCs w:val="1"/>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 xml:space="preserve">Trustee Reliance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may rely in good faith upon:</w:t>
      </w:r>
    </w:p>
    <w:p>
      <w:pPr>
        <w:pStyle w:val="Body"/>
        <w:numPr>
          <w:ilvl w:val="1"/>
          <w:numId w:val="86"/>
        </w:numPr>
        <w:bidi w:val="0"/>
        <w:spacing w:before="156" w:line="300" w:lineRule="auto"/>
        <w:ind w:right="544"/>
        <w:jc w:val="both"/>
        <w:rPr>
          <w:sz w:val="27"/>
          <w:szCs w:val="27"/>
          <w:rtl w:val="0"/>
          <w:lang w:val="en-US"/>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qualified, credentialed, Sunni Muslim scholar whose qualification is recognized by at least two other scholars in the first scholar's locality;</w:t>
      </w:r>
    </w:p>
    <w:p>
      <w:pPr>
        <w:pStyle w:val="Body"/>
        <w:numPr>
          <w:ilvl w:val="1"/>
          <w:numId w:val="87"/>
        </w:numPr>
        <w:bidi w:val="0"/>
        <w:spacing w:before="79"/>
        <w:ind w:right="0"/>
        <w:jc w:val="both"/>
        <w:rPr>
          <w:sz w:val="27"/>
          <w:szCs w:val="27"/>
          <w:rtl w:val="0"/>
          <w:lang w:val="en-US"/>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recognized Islamic inheritance authority; or</w:t>
      </w:r>
    </w:p>
    <w:p>
      <w:pPr>
        <w:pStyle w:val="Body"/>
        <w:numPr>
          <w:ilvl w:val="1"/>
          <w:numId w:val="88"/>
        </w:numPr>
        <w:bidi w:val="0"/>
        <w:spacing w:before="142" w:line="300" w:lineRule="auto"/>
        <w:ind w:right="975"/>
        <w:jc w:val="both"/>
        <w:rPr>
          <w:sz w:val="27"/>
          <w:szCs w:val="27"/>
          <w:rtl w:val="0"/>
          <w:lang w:val="en-US"/>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inheritance calculation generated by the Trust's internal calculation system, provided the system reflects the selected school.</w:t>
      </w:r>
    </w:p>
    <w:p>
      <w:pPr>
        <w:pStyle w:val="Body"/>
        <w:spacing w:before="74"/>
        <w:ind w:left="958" w:firstLine="0"/>
        <w:jc w:val="both"/>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shall not be liable for good-faith reliance on such authority.</w:t>
      </w:r>
    </w:p>
    <w:p>
      <w:pPr>
        <w:pStyle w:val="Body"/>
      </w:pPr>
      <w:r/>
    </w:p>
    <w:sectPr>
      <w:headerReference w:type="default" r:id="rId6"/>
      <w:pgSz w:w="12240" w:h="15840" w:orient="portrait"/>
      <w:pgMar w:top="300" w:right="360" w:bottom="280" w:left="360" w:header="360" w:footer="36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left" w:pos="963"/>
        </w:tabs>
        <w:ind w:left="963"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961"/>
          <w:tab w:val="left" w:pos="963"/>
        </w:tabs>
        <w:ind w:left="1570"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961"/>
          <w:tab w:val="left" w:pos="963"/>
        </w:tabs>
        <w:ind w:left="1587"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961"/>
          <w:tab w:val="left" w:pos="963"/>
        </w:tabs>
        <w:ind w:left="2829"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961"/>
          <w:tab w:val="left" w:pos="963"/>
        </w:tabs>
        <w:ind w:left="4072"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961"/>
          <w:tab w:val="left" w:pos="963"/>
        </w:tabs>
        <w:ind w:left="5314"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961"/>
          <w:tab w:val="left" w:pos="963"/>
        </w:tabs>
        <w:ind w:left="6557"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961"/>
          <w:tab w:val="left" w:pos="963"/>
        </w:tabs>
        <w:ind w:left="7799"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961"/>
          <w:tab w:val="left" w:pos="963"/>
        </w:tabs>
        <w:ind w:left="9042"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decimal"/>
      <w:suff w:val="tab"/>
      <w:lvlText w:val="%1."/>
      <w:lvlJc w:val="left"/>
      <w:pPr>
        <w:tabs>
          <w:tab w:val="left" w:pos="1564"/>
        </w:tabs>
        <w:ind w:left="293" w:hanging="2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564"/>
        </w:tabs>
        <w:ind w:left="1013" w:hanging="2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564"/>
        </w:tabs>
        <w:ind w:left="1733" w:hanging="2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564"/>
        </w:tabs>
        <w:ind w:left="2453" w:hanging="2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564"/>
        </w:tabs>
        <w:ind w:left="3173" w:hanging="2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564"/>
        </w:tabs>
        <w:ind w:left="3893" w:hanging="2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564"/>
        </w:tabs>
        <w:ind w:left="4613" w:hanging="2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564"/>
        </w:tabs>
        <w:ind w:left="5333" w:hanging="2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564"/>
        </w:tabs>
        <w:ind w:left="6053" w:hanging="2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bullet"/>
      <w:suff w:val="tab"/>
      <w:lvlText w:val="•"/>
      <w:lvlJc w:val="left"/>
      <w:pPr>
        <w:ind w:left="976" w:hanging="40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 w:ilvl="1">
      <w:start w:val="1"/>
      <w:numFmt w:val="bullet"/>
      <w:suff w:val="tab"/>
      <w:lvlText w:val="•"/>
      <w:lvlJc w:val="left"/>
      <w:pPr>
        <w:ind w:left="1565" w:hanging="392"/>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 w:ilvl="2">
      <w:start w:val="1"/>
      <w:numFmt w:val="bullet"/>
      <w:suff w:val="tab"/>
      <w:lvlText w:val="•"/>
      <w:lvlJc w:val="left"/>
      <w:pPr>
        <w:tabs>
          <w:tab w:val="left" w:pos="1565"/>
        </w:tabs>
        <w:ind w:left="2668" w:hanging="393"/>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 w:ilvl="3">
      <w:start w:val="1"/>
      <w:numFmt w:val="bullet"/>
      <w:suff w:val="tab"/>
      <w:lvlText w:val="•"/>
      <w:lvlJc w:val="left"/>
      <w:pPr>
        <w:tabs>
          <w:tab w:val="left" w:pos="1565"/>
        </w:tabs>
        <w:ind w:left="3775" w:hanging="393"/>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 w:ilvl="4">
      <w:start w:val="1"/>
      <w:numFmt w:val="bullet"/>
      <w:suff w:val="tab"/>
      <w:lvlText w:val="•"/>
      <w:lvlJc w:val="left"/>
      <w:pPr>
        <w:tabs>
          <w:tab w:val="left" w:pos="1565"/>
        </w:tabs>
        <w:ind w:left="4882" w:hanging="393"/>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 w:ilvl="5">
      <w:start w:val="1"/>
      <w:numFmt w:val="bullet"/>
      <w:suff w:val="tab"/>
      <w:lvlText w:val="•"/>
      <w:lvlJc w:val="left"/>
      <w:pPr>
        <w:tabs>
          <w:tab w:val="left" w:pos="1565"/>
        </w:tabs>
        <w:ind w:left="5988" w:hanging="392"/>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 w:ilvl="6">
      <w:start w:val="1"/>
      <w:numFmt w:val="bullet"/>
      <w:suff w:val="tab"/>
      <w:lvlText w:val="•"/>
      <w:lvlJc w:val="left"/>
      <w:pPr>
        <w:tabs>
          <w:tab w:val="left" w:pos="1565"/>
        </w:tabs>
        <w:ind w:left="7095" w:hanging="393"/>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 w:ilvl="7">
      <w:start w:val="1"/>
      <w:numFmt w:val="bullet"/>
      <w:suff w:val="tab"/>
      <w:lvlText w:val="•"/>
      <w:lvlJc w:val="left"/>
      <w:pPr>
        <w:tabs>
          <w:tab w:val="left" w:pos="1565"/>
        </w:tabs>
        <w:ind w:left="8202" w:hanging="393"/>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 w:ilvl="8">
      <w:start w:val="1"/>
      <w:numFmt w:val="bullet"/>
      <w:suff w:val="tab"/>
      <w:lvlText w:val="•"/>
      <w:lvlJc w:val="left"/>
      <w:pPr>
        <w:tabs>
          <w:tab w:val="left" w:pos="1565"/>
        </w:tabs>
        <w:ind w:left="9308" w:hanging="393"/>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958"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0"/>
    <w:lvlOverride w:ilvl="0">
      <w:lvl w:ilvl="0">
        <w:start w:val="1"/>
        <w:numFmt w:val="bullet"/>
        <w:suff w:val="tab"/>
        <w:lvlText w:val="•"/>
        <w:lvlJc w:val="left"/>
        <w:pPr>
          <w:tabs>
            <w:tab w:val="left" w:pos="961"/>
          </w:tabs>
          <w:ind w:left="95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abstractNumId w:val="0"/>
    <w:lvlOverride w:ilvl="0">
      <w:lvl w:ilvl="0">
        <w:start w:val="1"/>
        <w:numFmt w:val="bullet"/>
        <w:suff w:val="tab"/>
        <w:lvlText w:val="•"/>
        <w:lvlJc w:val="left"/>
        <w:pPr>
          <w:ind w:left="95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0"/>
    <w:lvlOverride w:ilvl="0">
      <w:lvl w:ilvl="0">
        <w:start w:val="1"/>
        <w:numFmt w:val="bullet"/>
        <w:suff w:val="tab"/>
        <w:lvlText w:val="•"/>
        <w:lvlJc w:val="left"/>
        <w:pPr>
          <w:ind w:left="95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5"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5"/>
          </w:tabs>
          <w:ind w:left="282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5"/>
          </w:tabs>
          <w:ind w:left="406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5"/>
          </w:tabs>
          <w:ind w:left="5309"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5"/>
          </w:tabs>
          <w:ind w:left="6552"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5"/>
          </w:tabs>
          <w:ind w:left="7794"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5"/>
          </w:tabs>
          <w:ind w:left="903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abstractNumId w:val="0"/>
    <w:lvlOverride w:ilvl="0">
      <w:lvl w:ilvl="0">
        <w:start w:val="1"/>
        <w:numFmt w:val="bullet"/>
        <w:suff w:val="tab"/>
        <w:lvlText w:val="•"/>
        <w:lvlJc w:val="left"/>
        <w:pPr>
          <w:tabs>
            <w:tab w:val="left" w:pos="964"/>
          </w:tabs>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60"/>
            <w:tab w:val="left" w:pos="964"/>
          </w:tabs>
          <w:ind w:left="1573" w:hanging="3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60"/>
            <w:tab w:val="left" w:pos="964"/>
          </w:tabs>
          <w:ind w:left="1590" w:hanging="3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60"/>
            <w:tab w:val="left" w:pos="964"/>
          </w:tabs>
          <w:ind w:left="2832" w:hanging="3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60"/>
            <w:tab w:val="left" w:pos="964"/>
          </w:tabs>
          <w:ind w:left="4075" w:hanging="3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60"/>
            <w:tab w:val="left" w:pos="964"/>
          </w:tabs>
          <w:ind w:left="5317"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60"/>
            <w:tab w:val="left" w:pos="964"/>
          </w:tabs>
          <w:ind w:left="6560" w:hanging="3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60"/>
            <w:tab w:val="left" w:pos="964"/>
          </w:tabs>
          <w:ind w:left="7802"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60"/>
            <w:tab w:val="left" w:pos="964"/>
          </w:tabs>
          <w:ind w:left="9045" w:hanging="3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abstractNumId w:val="0"/>
    <w:lvlOverride w:ilvl="0">
      <w:lvl w:ilvl="0">
        <w:start w:val="1"/>
        <w:numFmt w:val="bullet"/>
        <w:suff w:val="tab"/>
        <w:lvlText w:val="•"/>
        <w:lvlJc w:val="left"/>
        <w:pPr>
          <w:tabs>
            <w:tab w:val="left" w:pos="964"/>
          </w:tabs>
          <w:ind w:left="958"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8"/>
            <w:tab w:val="left" w:pos="964"/>
          </w:tabs>
          <w:ind w:left="1563"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8"/>
            <w:tab w:val="left" w:pos="964"/>
          </w:tabs>
          <w:ind w:left="158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8"/>
            <w:tab w:val="left" w:pos="964"/>
          </w:tabs>
          <w:ind w:left="2822"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8"/>
            <w:tab w:val="left" w:pos="964"/>
          </w:tabs>
          <w:ind w:left="406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8"/>
            <w:tab w:val="left" w:pos="964"/>
          </w:tabs>
          <w:ind w:left="5307"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8"/>
            <w:tab w:val="left" w:pos="964"/>
          </w:tabs>
          <w:ind w:left="655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8"/>
            <w:tab w:val="left" w:pos="964"/>
          </w:tabs>
          <w:ind w:left="7792"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8"/>
            <w:tab w:val="left" w:pos="964"/>
          </w:tabs>
          <w:ind w:left="903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8"/>
          </w:tabs>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8"/>
          </w:tabs>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3"/>
            <w:tab w:val="left" w:pos="1568"/>
          </w:tabs>
          <w:ind w:left="282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3"/>
            <w:tab w:val="left" w:pos="1568"/>
          </w:tabs>
          <w:ind w:left="40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3"/>
            <w:tab w:val="left" w:pos="1568"/>
          </w:tabs>
          <w:ind w:left="530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3"/>
            <w:tab w:val="left" w:pos="1568"/>
          </w:tabs>
          <w:ind w:left="6550"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3"/>
            <w:tab w:val="left" w:pos="1568"/>
          </w:tabs>
          <w:ind w:left="779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3"/>
            <w:tab w:val="left" w:pos="1568"/>
          </w:tabs>
          <w:ind w:left="903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abstractNumId w:val="0"/>
    <w:lvlOverride w:ilvl="0">
      <w:lvl w:ilvl="0">
        <w:start w:val="1"/>
        <w:numFmt w:val="bullet"/>
        <w:suff w:val="tab"/>
        <w:lvlText w:val="•"/>
        <w:lvlJc w:val="left"/>
        <w:pPr>
          <w:tabs>
            <w:tab w:val="left" w:pos="964"/>
          </w:tabs>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0"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0" w:hanging="37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0"/>
          </w:tabs>
          <w:ind w:left="2819"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0"/>
          </w:tabs>
          <w:ind w:left="4062"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0"/>
          </w:tabs>
          <w:ind w:left="5304"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0"/>
          </w:tabs>
          <w:ind w:left="6547"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0"/>
          </w:tabs>
          <w:ind w:left="7789"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0"/>
          </w:tabs>
          <w:ind w:left="9032"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0"/>
    <w:lvlOverride w:ilvl="0">
      <w:lvl w:ilvl="0">
        <w:start w:val="1"/>
        <w:numFmt w:val="bullet"/>
        <w:suff w:val="tab"/>
        <w:lvlText w:val="•"/>
        <w:lvlJc w:val="left"/>
        <w:pPr>
          <w:tabs>
            <w:tab w:val="left" w:pos="962"/>
          </w:tabs>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2" w:hanging="37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2"/>
          </w:tabs>
          <w:ind w:left="2821"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2"/>
          </w:tabs>
          <w:ind w:left="406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2"/>
          </w:tabs>
          <w:ind w:left="5306"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2"/>
          </w:tabs>
          <w:ind w:left="654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2"/>
          </w:tabs>
          <w:ind w:left="7791"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2"/>
          </w:tabs>
          <w:ind w:left="903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abstractNumId w:val="0"/>
    <w:lvlOverride w:ilvl="0">
      <w:lvl w:ilvl="0">
        <w:start w:val="1"/>
        <w:numFmt w:val="bullet"/>
        <w:suff w:val="tab"/>
        <w:lvlText w:val="•"/>
        <w:lvlJc w:val="left"/>
        <w:pPr>
          <w:tabs>
            <w:tab w:val="left" w:pos="962"/>
          </w:tabs>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0"/>
    <w:lvlOverride w:ilvl="0">
      <w:lvl w:ilvl="0">
        <w:start w:val="1"/>
        <w:numFmt w:val="bullet"/>
        <w:suff w:val="tab"/>
        <w:lvlText w:val="•"/>
        <w:lvlJc w:val="left"/>
        <w:pPr>
          <w:tabs>
            <w:tab w:val="left" w:pos="964"/>
          </w:tabs>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61"/>
            <w:tab w:val="left" w:pos="964"/>
          </w:tabs>
          <w:ind w:left="1572"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61"/>
            <w:tab w:val="left" w:pos="964"/>
          </w:tabs>
          <w:ind w:left="1589"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61"/>
            <w:tab w:val="left" w:pos="964"/>
          </w:tabs>
          <w:ind w:left="2831"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61"/>
            <w:tab w:val="left" w:pos="964"/>
          </w:tabs>
          <w:ind w:left="4074"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61"/>
            <w:tab w:val="left" w:pos="964"/>
          </w:tabs>
          <w:ind w:left="5316"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61"/>
            <w:tab w:val="left" w:pos="964"/>
          </w:tabs>
          <w:ind w:left="6559"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61"/>
            <w:tab w:val="left" w:pos="964"/>
          </w:tabs>
          <w:ind w:left="7801"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61"/>
            <w:tab w:val="left" w:pos="964"/>
          </w:tabs>
          <w:ind w:left="9044"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4">
    <w:abstractNumId w:val="0"/>
    <w:lvlOverride w:ilvl="0">
      <w:lvl w:ilvl="0">
        <w:start w:val="1"/>
        <w:numFmt w:val="bullet"/>
        <w:suff w:val="tab"/>
        <w:lvlText w:val="•"/>
        <w:lvlJc w:val="left"/>
        <w:pPr>
          <w:ind w:left="1028" w:hanging="45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1">
      <w:lvl w:ilvl="1">
        <w:start w:val="1"/>
        <w:numFmt w:val="bullet"/>
        <w:suff w:val="tab"/>
        <w:lvlText w:val="•"/>
        <w:lvlJc w:val="left"/>
        <w:pPr>
          <w:tabs>
            <w:tab w:val="left" w:pos="958"/>
          </w:tabs>
          <w:ind w:left="1633" w:hanging="45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2">
      <w:lvl w:ilvl="2">
        <w:start w:val="1"/>
        <w:numFmt w:val="bullet"/>
        <w:suff w:val="tab"/>
        <w:lvlText w:val="•"/>
        <w:lvlJc w:val="left"/>
        <w:pPr>
          <w:tabs>
            <w:tab w:val="left" w:pos="958"/>
          </w:tabs>
          <w:ind w:left="1650" w:hanging="45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3">
      <w:lvl w:ilvl="3">
        <w:start w:val="1"/>
        <w:numFmt w:val="bullet"/>
        <w:suff w:val="tab"/>
        <w:lvlText w:val="•"/>
        <w:lvlJc w:val="left"/>
        <w:pPr>
          <w:tabs>
            <w:tab w:val="left" w:pos="958"/>
          </w:tabs>
          <w:ind w:left="2892" w:hanging="45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4">
      <w:lvl w:ilvl="4">
        <w:start w:val="1"/>
        <w:numFmt w:val="bullet"/>
        <w:suff w:val="tab"/>
        <w:lvlText w:val="•"/>
        <w:lvlJc w:val="left"/>
        <w:pPr>
          <w:tabs>
            <w:tab w:val="left" w:pos="958"/>
          </w:tabs>
          <w:ind w:left="4135" w:hanging="45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5">
      <w:lvl w:ilvl="5">
        <w:start w:val="1"/>
        <w:numFmt w:val="bullet"/>
        <w:suff w:val="tab"/>
        <w:lvlText w:val="•"/>
        <w:lvlJc w:val="left"/>
        <w:pPr>
          <w:tabs>
            <w:tab w:val="left" w:pos="958"/>
          </w:tabs>
          <w:ind w:left="5377" w:hanging="45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6">
      <w:lvl w:ilvl="6">
        <w:start w:val="1"/>
        <w:numFmt w:val="bullet"/>
        <w:suff w:val="tab"/>
        <w:lvlText w:val="•"/>
        <w:lvlJc w:val="left"/>
        <w:pPr>
          <w:tabs>
            <w:tab w:val="left" w:pos="958"/>
          </w:tabs>
          <w:ind w:left="6620" w:hanging="45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7">
      <w:lvl w:ilvl="7">
        <w:start w:val="1"/>
        <w:numFmt w:val="bullet"/>
        <w:suff w:val="tab"/>
        <w:lvlText w:val="•"/>
        <w:lvlJc w:val="left"/>
        <w:pPr>
          <w:tabs>
            <w:tab w:val="left" w:pos="958"/>
          </w:tabs>
          <w:ind w:left="7862" w:hanging="45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8">
      <w:lvl w:ilvl="8">
        <w:start w:val="1"/>
        <w:numFmt w:val="bullet"/>
        <w:suff w:val="tab"/>
        <w:lvlText w:val="•"/>
        <w:lvlJc w:val="left"/>
        <w:pPr>
          <w:tabs>
            <w:tab w:val="left" w:pos="958"/>
          </w:tabs>
          <w:ind w:left="9105" w:hanging="45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num>
  <w:num w:numId="15">
    <w:abstractNumId w:val="0"/>
    <w:lvlOverride w:ilvl="0">
      <w:lvl w:ilvl="0">
        <w:start w:val="1"/>
        <w:numFmt w:val="bullet"/>
        <w:suff w:val="tab"/>
        <w:lvlText w:val="•"/>
        <w:lvlJc w:val="left"/>
        <w:pPr>
          <w:ind w:left="958"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3"/>
          </w:tabs>
          <w:ind w:left="1563"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3"/>
          </w:tabs>
          <w:ind w:left="1563" w:hanging="37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 w:val="left" w:pos="1563"/>
          </w:tabs>
          <w:ind w:left="2826"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 w:val="left" w:pos="1563"/>
          </w:tabs>
          <w:ind w:left="4069"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 w:val="left" w:pos="1563"/>
          </w:tabs>
          <w:ind w:left="5311"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 w:val="left" w:pos="1563"/>
          </w:tabs>
          <w:ind w:left="6554"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 w:val="left" w:pos="1563"/>
          </w:tabs>
          <w:ind w:left="7796"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 w:val="left" w:pos="1563"/>
          </w:tabs>
          <w:ind w:left="9039"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6">
    <w:abstractNumId w:val="0"/>
    <w:lvlOverride w:ilvl="0">
      <w:lvl w:ilvl="0">
        <w:start w:val="1"/>
        <w:numFmt w:val="bullet"/>
        <w:suff w:val="tab"/>
        <w:lvlText w:val="•"/>
        <w:lvlJc w:val="left"/>
        <w:pPr>
          <w:ind w:left="958"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7"/>
          </w:tabs>
          <w:ind w:left="1563"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7"/>
          </w:tabs>
          <w:ind w:left="1563" w:hanging="37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 w:val="left" w:pos="1567"/>
          </w:tabs>
          <w:ind w:left="2826"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 w:val="left" w:pos="1567"/>
          </w:tabs>
          <w:ind w:left="4069"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 w:val="left" w:pos="1567"/>
          </w:tabs>
          <w:ind w:left="5311"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 w:val="left" w:pos="1567"/>
          </w:tabs>
          <w:ind w:left="6554"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 w:val="left" w:pos="1567"/>
          </w:tabs>
          <w:ind w:left="7796"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 w:val="left" w:pos="1567"/>
          </w:tabs>
          <w:ind w:left="9039"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7">
    <w:abstractNumId w:val="0"/>
    <w:lvlOverride w:ilvl="0">
      <w:lvl w:ilvl="0">
        <w:start w:val="1"/>
        <w:numFmt w:val="bullet"/>
        <w:suff w:val="tab"/>
        <w:lvlText w:val="•"/>
        <w:lvlJc w:val="left"/>
        <w:pPr>
          <w:ind w:left="958"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6"/>
          </w:tabs>
          <w:ind w:left="1563"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6"/>
          </w:tabs>
          <w:ind w:left="1563" w:hanging="37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 w:val="left" w:pos="1566"/>
          </w:tabs>
          <w:ind w:left="2826"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 w:val="left" w:pos="1566"/>
          </w:tabs>
          <w:ind w:left="4069"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 w:val="left" w:pos="1566"/>
          </w:tabs>
          <w:ind w:left="5311"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 w:val="left" w:pos="1566"/>
          </w:tabs>
          <w:ind w:left="6554"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 w:val="left" w:pos="1566"/>
          </w:tabs>
          <w:ind w:left="7796"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 w:val="left" w:pos="1566"/>
          </w:tabs>
          <w:ind w:left="9039"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8">
    <w:abstractNumId w:val="0"/>
    <w:lvlOverride w:ilvl="0">
      <w:lvl w:ilvl="0">
        <w:start w:val="1"/>
        <w:numFmt w:val="bullet"/>
        <w:suff w:val="tab"/>
        <w:lvlText w:val="•"/>
        <w:lvlJc w:val="left"/>
        <w:pPr>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3"/>
          </w:tabs>
          <w:ind w:left="282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3"/>
          </w:tabs>
          <w:ind w:left="40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3"/>
          </w:tabs>
          <w:ind w:left="530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3"/>
          </w:tabs>
          <w:ind w:left="6550"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3"/>
          </w:tabs>
          <w:ind w:left="779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3"/>
          </w:tabs>
          <w:ind w:left="903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9">
    <w:abstractNumId w:val="0"/>
    <w:lvlOverride w:ilvl="0">
      <w:lvl w:ilvl="0">
        <w:start w:val="1"/>
        <w:numFmt w:val="bullet"/>
        <w:suff w:val="tab"/>
        <w:lvlText w:val="•"/>
        <w:lvlJc w:val="left"/>
        <w:pPr>
          <w:tabs>
            <w:tab w:val="left" w:pos="964"/>
          </w:tabs>
          <w:ind w:left="953" w:hanging="38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3"/>
            <w:tab w:val="left" w:pos="964"/>
          </w:tabs>
          <w:ind w:left="1558" w:hanging="38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3"/>
            <w:tab w:val="left" w:pos="964"/>
          </w:tabs>
          <w:ind w:left="1575" w:hanging="38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3"/>
            <w:tab w:val="left" w:pos="964"/>
          </w:tabs>
          <w:ind w:left="2817" w:hanging="38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3"/>
            <w:tab w:val="left" w:pos="964"/>
          </w:tabs>
          <w:ind w:left="4060" w:hanging="38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3"/>
            <w:tab w:val="left" w:pos="964"/>
          </w:tabs>
          <w:ind w:left="5302" w:hanging="38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3"/>
            <w:tab w:val="left" w:pos="964"/>
          </w:tabs>
          <w:ind w:left="6545" w:hanging="38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3"/>
            <w:tab w:val="left" w:pos="964"/>
          </w:tabs>
          <w:ind w:left="7787" w:hanging="38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3"/>
            <w:tab w:val="left" w:pos="964"/>
          </w:tabs>
          <w:ind w:left="9030" w:hanging="38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0">
    <w:abstractNumId w:val="0"/>
    <w:lvlOverride w:ilvl="0">
      <w:lvl w:ilvl="0">
        <w:start w:val="1"/>
        <w:numFmt w:val="bullet"/>
        <w:suff w:val="tab"/>
        <w:lvlText w:val="•"/>
        <w:lvlJc w:val="left"/>
        <w:pPr>
          <w:tabs>
            <w:tab w:val="left" w:pos="960"/>
          </w:tabs>
          <w:ind w:left="960"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7"/>
            <w:tab w:val="left" w:pos="960"/>
          </w:tabs>
          <w:ind w:left="1568"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7"/>
            <w:tab w:val="left" w:pos="960"/>
          </w:tabs>
          <w:ind w:left="1585"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7"/>
            <w:tab w:val="left" w:pos="960"/>
          </w:tabs>
          <w:ind w:left="2827"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7"/>
            <w:tab w:val="left" w:pos="960"/>
          </w:tabs>
          <w:ind w:left="4070"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7"/>
            <w:tab w:val="left" w:pos="960"/>
          </w:tabs>
          <w:ind w:left="531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7"/>
            <w:tab w:val="left" w:pos="960"/>
          </w:tabs>
          <w:ind w:left="6555"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7"/>
            <w:tab w:val="left" w:pos="960"/>
          </w:tabs>
          <w:ind w:left="7797"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7"/>
            <w:tab w:val="left" w:pos="960"/>
          </w:tabs>
          <w:ind w:left="9040"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1">
    <w:abstractNumId w:val="0"/>
    <w:lvlOverride w:ilvl="0">
      <w:lvl w:ilvl="0">
        <w:start w:val="1"/>
        <w:numFmt w:val="bullet"/>
        <w:suff w:val="tab"/>
        <w:lvlText w:val="•"/>
        <w:lvlJc w:val="left"/>
        <w:pPr>
          <w:tabs>
            <w:tab w:val="left" w:pos="961"/>
          </w:tabs>
          <w:ind w:left="958"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2" w:hanging="37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2"/>
          </w:tabs>
          <w:ind w:left="2821"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2"/>
          </w:tabs>
          <w:ind w:left="406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2"/>
          </w:tabs>
          <w:ind w:left="5306"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2"/>
          </w:tabs>
          <w:ind w:left="654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2"/>
          </w:tabs>
          <w:ind w:left="7791"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2"/>
          </w:tabs>
          <w:ind w:left="903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2">
    <w:abstractNumId w:val="0"/>
    <w:lvlOverride w:ilvl="0">
      <w:lvl w:ilvl="0">
        <w:start w:val="1"/>
        <w:numFmt w:val="bullet"/>
        <w:suff w:val="tab"/>
        <w:lvlText w:val="•"/>
        <w:lvlJc w:val="left"/>
        <w:pPr>
          <w:tabs>
            <w:tab w:val="left" w:pos="960"/>
          </w:tabs>
          <w:ind w:left="956"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6"/>
            <w:tab w:val="left" w:pos="960"/>
          </w:tabs>
          <w:ind w:left="1561"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6"/>
            <w:tab w:val="left" w:pos="960"/>
          </w:tabs>
          <w:ind w:left="157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6"/>
            <w:tab w:val="left" w:pos="960"/>
          </w:tabs>
          <w:ind w:left="2820"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6"/>
            <w:tab w:val="left" w:pos="960"/>
          </w:tabs>
          <w:ind w:left="406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6"/>
            <w:tab w:val="left" w:pos="960"/>
          </w:tabs>
          <w:ind w:left="5305"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6"/>
            <w:tab w:val="left" w:pos="960"/>
          </w:tabs>
          <w:ind w:left="654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6"/>
            <w:tab w:val="left" w:pos="960"/>
          </w:tabs>
          <w:ind w:left="7790"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6"/>
            <w:tab w:val="left" w:pos="960"/>
          </w:tabs>
          <w:ind w:left="903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3">
    <w:abstractNumId w:val="0"/>
    <w:lvlOverride w:ilvl="0">
      <w:lvl w:ilvl="0">
        <w:start w:val="1"/>
        <w:numFmt w:val="bullet"/>
        <w:suff w:val="tab"/>
        <w:lvlText w:val="•"/>
        <w:lvlJc w:val="left"/>
        <w:pPr>
          <w:tabs>
            <w:tab w:val="left" w:pos="962"/>
          </w:tabs>
          <w:ind w:left="962"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5"/>
          </w:tabs>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5"/>
          </w:tabs>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3"/>
            <w:tab w:val="left" w:pos="1565"/>
          </w:tabs>
          <w:ind w:left="282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3"/>
            <w:tab w:val="left" w:pos="1565"/>
          </w:tabs>
          <w:ind w:left="40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3"/>
            <w:tab w:val="left" w:pos="1565"/>
          </w:tabs>
          <w:ind w:left="530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3"/>
            <w:tab w:val="left" w:pos="1565"/>
          </w:tabs>
          <w:ind w:left="6550"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3"/>
            <w:tab w:val="left" w:pos="1565"/>
          </w:tabs>
          <w:ind w:left="779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3"/>
            <w:tab w:val="left" w:pos="1565"/>
          </w:tabs>
          <w:ind w:left="903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4">
    <w:abstractNumId w:val="0"/>
    <w:lvlOverride w:ilvl="0">
      <w:lvl w:ilvl="0">
        <w:start w:val="1"/>
        <w:numFmt w:val="bullet"/>
        <w:suff w:val="tab"/>
        <w:lvlText w:val="•"/>
        <w:lvlJc w:val="left"/>
        <w:pPr>
          <w:tabs>
            <w:tab w:val="left" w:pos="958"/>
          </w:tabs>
          <w:ind w:left="958"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6"/>
            <w:tab w:val="left" w:pos="958"/>
          </w:tabs>
          <w:ind w:left="1565"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6"/>
            <w:tab w:val="left" w:pos="958"/>
          </w:tabs>
          <w:ind w:left="158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6"/>
            <w:tab w:val="left" w:pos="958"/>
          </w:tabs>
          <w:ind w:left="282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6"/>
            <w:tab w:val="left" w:pos="958"/>
          </w:tabs>
          <w:ind w:left="406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6"/>
            <w:tab w:val="left" w:pos="958"/>
          </w:tabs>
          <w:ind w:left="5309"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6"/>
            <w:tab w:val="left" w:pos="958"/>
          </w:tabs>
          <w:ind w:left="655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6"/>
            <w:tab w:val="left" w:pos="958"/>
          </w:tabs>
          <w:ind w:left="7794"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6"/>
            <w:tab w:val="left" w:pos="958"/>
          </w:tabs>
          <w:ind w:left="903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5">
    <w:abstractNumId w:val="0"/>
    <w:lvlOverride w:ilvl="0">
      <w:lvl w:ilvl="0">
        <w:start w:val="1"/>
        <w:numFmt w:val="bullet"/>
        <w:suff w:val="tab"/>
        <w:lvlText w:val="•"/>
        <w:lvlJc w:val="left"/>
        <w:pPr>
          <w:tabs>
            <w:tab w:val="left" w:pos="958"/>
          </w:tabs>
          <w:ind w:left="958"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6"/>
            <w:tab w:val="left" w:pos="958"/>
          </w:tabs>
          <w:ind w:left="15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6"/>
            <w:tab w:val="left" w:pos="958"/>
          </w:tabs>
          <w:ind w:left="158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6"/>
            <w:tab w:val="left" w:pos="958"/>
          </w:tabs>
          <w:ind w:left="2824"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6"/>
            <w:tab w:val="left" w:pos="958"/>
          </w:tabs>
          <w:ind w:left="4067"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6"/>
            <w:tab w:val="left" w:pos="958"/>
          </w:tabs>
          <w:ind w:left="530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6"/>
            <w:tab w:val="left" w:pos="958"/>
          </w:tabs>
          <w:ind w:left="655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6"/>
            <w:tab w:val="left" w:pos="958"/>
          </w:tabs>
          <w:ind w:left="779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6"/>
            <w:tab w:val="left" w:pos="958"/>
          </w:tabs>
          <w:ind w:left="9037"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6">
    <w:abstractNumId w:val="0"/>
    <w:lvlOverride w:ilvl="0">
      <w:lvl w:ilvl="0">
        <w:start w:val="1"/>
        <w:numFmt w:val="bullet"/>
        <w:suff w:val="tab"/>
        <w:lvlText w:val="•"/>
        <w:lvlJc w:val="left"/>
        <w:pPr>
          <w:ind w:left="95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3"/>
          </w:tabs>
          <w:ind w:left="282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3"/>
          </w:tabs>
          <w:ind w:left="40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3"/>
          </w:tabs>
          <w:ind w:left="530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3"/>
          </w:tabs>
          <w:ind w:left="6550"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3"/>
          </w:tabs>
          <w:ind w:left="779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3"/>
          </w:tabs>
          <w:ind w:left="903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7">
    <w:abstractNumId w:val="0"/>
    <w:lvlOverride w:ilvl="0">
      <w:lvl w:ilvl="0">
        <w:start w:val="1"/>
        <w:numFmt w:val="bullet"/>
        <w:suff w:val="tab"/>
        <w:lvlText w:val="•"/>
        <w:lvlJc w:val="left"/>
        <w:pPr>
          <w:ind w:left="95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num" w:pos="1562"/>
            <w:tab w:val="left" w:pos="1575"/>
          </w:tabs>
          <w:ind w:left="1575" w:hanging="4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num" w:pos="1562"/>
            <w:tab w:val="left" w:pos="1575"/>
          </w:tabs>
          <w:ind w:left="157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2"/>
            <w:tab w:val="left" w:pos="1575"/>
            <w:tab w:val="num" w:pos="2834"/>
          </w:tabs>
          <w:ind w:left="2847" w:hanging="41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2"/>
            <w:tab w:val="left" w:pos="1575"/>
            <w:tab w:val="num" w:pos="4077"/>
          </w:tabs>
          <w:ind w:left="4090" w:hanging="41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2"/>
            <w:tab w:val="left" w:pos="1575"/>
            <w:tab w:val="num" w:pos="5319"/>
          </w:tabs>
          <w:ind w:left="5332" w:hanging="41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2"/>
            <w:tab w:val="left" w:pos="1575"/>
            <w:tab w:val="num" w:pos="6562"/>
          </w:tabs>
          <w:ind w:left="6575" w:hanging="41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2"/>
            <w:tab w:val="left" w:pos="1575"/>
            <w:tab w:val="num" w:pos="7804"/>
          </w:tabs>
          <w:ind w:left="7817" w:hanging="41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2"/>
            <w:tab w:val="left" w:pos="1575"/>
            <w:tab w:val="num" w:pos="9047"/>
          </w:tabs>
          <w:ind w:left="9060" w:hanging="41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8">
    <w:abstractNumId w:val="0"/>
    <w:lvlOverride w:ilvl="0">
      <w:lvl w:ilvl="0">
        <w:start w:val="1"/>
        <w:numFmt w:val="bullet"/>
        <w:suff w:val="tab"/>
        <w:lvlText w:val="•"/>
        <w:lvlJc w:val="left"/>
        <w:pPr>
          <w:ind w:left="95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2" w:hanging="37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2"/>
          </w:tabs>
          <w:ind w:left="2821"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2"/>
          </w:tabs>
          <w:ind w:left="406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2"/>
          </w:tabs>
          <w:ind w:left="5306"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2"/>
          </w:tabs>
          <w:ind w:left="654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2"/>
          </w:tabs>
          <w:ind w:left="7791"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2"/>
          </w:tabs>
          <w:ind w:left="903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9">
    <w:abstractNumId w:val="0"/>
    <w:lvlOverride w:ilvl="0">
      <w:lvl w:ilvl="0">
        <w:start w:val="1"/>
        <w:numFmt w:val="bullet"/>
        <w:suff w:val="tab"/>
        <w:lvlText w:val="•"/>
        <w:lvlJc w:val="left"/>
        <w:pPr>
          <w:ind w:left="95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5"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5"/>
          </w:tabs>
          <w:ind w:left="282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5"/>
          </w:tabs>
          <w:ind w:left="406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5"/>
          </w:tabs>
          <w:ind w:left="5309"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5"/>
          </w:tabs>
          <w:ind w:left="6552"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5"/>
          </w:tabs>
          <w:ind w:left="7794"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5"/>
          </w:tabs>
          <w:ind w:left="903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0">
    <w:abstractNumId w:val="0"/>
    <w:lvlOverride w:ilvl="0">
      <w:lvl w:ilvl="0">
        <w:start w:val="1"/>
        <w:numFmt w:val="bullet"/>
        <w:suff w:val="tab"/>
        <w:lvlText w:val="•"/>
        <w:lvlJc w:val="left"/>
        <w:pPr>
          <w:ind w:left="962"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5"/>
          </w:tabs>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5"/>
          </w:tabs>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 w:val="left" w:pos="1565"/>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 w:val="left" w:pos="1565"/>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 w:val="left" w:pos="1565"/>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 w:val="left" w:pos="1565"/>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 w:val="left" w:pos="1565"/>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 w:val="left" w:pos="1565"/>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1">
    <w:abstractNumId w:val="0"/>
    <w:lvlOverride w:ilvl="0">
      <w:lvl w:ilvl="0">
        <w:start w:val="1"/>
        <w:numFmt w:val="bullet"/>
        <w:suff w:val="tab"/>
        <w:lvlText w:val="•"/>
        <w:lvlJc w:val="left"/>
        <w:pPr>
          <w:ind w:left="962"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1"/>
          </w:tabs>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1"/>
          </w:tabs>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 w:val="left" w:pos="1561"/>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 w:val="left" w:pos="1561"/>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 w:val="left" w:pos="1561"/>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 w:val="left" w:pos="1561"/>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 w:val="left" w:pos="1561"/>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 w:val="left" w:pos="1561"/>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2">
    <w:abstractNumId w:val="0"/>
    <w:lvlOverride w:ilvl="0">
      <w:lvl w:ilvl="0">
        <w:start w:val="1"/>
        <w:numFmt w:val="bullet"/>
        <w:suff w:val="tab"/>
        <w:lvlText w:val="•"/>
        <w:lvlJc w:val="left"/>
        <w:pPr>
          <w:ind w:left="962"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1"/>
          </w:tabs>
          <w:ind w:left="1557"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1"/>
          </w:tabs>
          <w:ind w:left="1557" w:hanging="36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7"/>
            <w:tab w:val="left" w:pos="1561"/>
          </w:tabs>
          <w:ind w:left="2816"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7"/>
            <w:tab w:val="left" w:pos="1561"/>
          </w:tabs>
          <w:ind w:left="4059"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7"/>
            <w:tab w:val="left" w:pos="1561"/>
          </w:tabs>
          <w:ind w:left="5301"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7"/>
            <w:tab w:val="left" w:pos="1561"/>
          </w:tabs>
          <w:ind w:left="6544"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7"/>
            <w:tab w:val="left" w:pos="1561"/>
          </w:tabs>
          <w:ind w:left="7786"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7"/>
            <w:tab w:val="left" w:pos="1561"/>
          </w:tabs>
          <w:ind w:left="9029"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3">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5"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5"/>
          </w:tabs>
          <w:ind w:left="282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5"/>
          </w:tabs>
          <w:ind w:left="406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5"/>
          </w:tabs>
          <w:ind w:left="5309"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5"/>
          </w:tabs>
          <w:ind w:left="6552"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5"/>
          </w:tabs>
          <w:ind w:left="7794"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5"/>
          </w:tabs>
          <w:ind w:left="903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4">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2"/>
          </w:tabs>
          <w:ind w:left="15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2"/>
          </w:tabs>
          <w:ind w:left="1562"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8"/>
            <w:tab w:val="left" w:pos="1562"/>
          </w:tabs>
          <w:ind w:left="2825"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8"/>
            <w:tab w:val="left" w:pos="1562"/>
          </w:tabs>
          <w:ind w:left="4068"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8"/>
            <w:tab w:val="left" w:pos="1562"/>
          </w:tabs>
          <w:ind w:left="5310"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8"/>
            <w:tab w:val="left" w:pos="1562"/>
          </w:tabs>
          <w:ind w:left="6553"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8"/>
            <w:tab w:val="left" w:pos="1562"/>
          </w:tabs>
          <w:ind w:left="7795"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8"/>
            <w:tab w:val="left" w:pos="1562"/>
          </w:tabs>
          <w:ind w:left="9038"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5">
    <w:abstractNumId w:val="0"/>
    <w:lvlOverride w:ilvl="0">
      <w:lvl w:ilvl="0">
        <w:start w:val="1"/>
        <w:numFmt w:val="bullet"/>
        <w:suff w:val="tab"/>
        <w:lvlText w:val="•"/>
        <w:lvlJc w:val="left"/>
        <w:pPr>
          <w:tabs>
            <w:tab w:val="left" w:pos="960"/>
          </w:tabs>
          <w:ind w:left="958"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8"/>
            <w:tab w:val="left" w:pos="960"/>
          </w:tabs>
          <w:ind w:left="1563"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8"/>
            <w:tab w:val="left" w:pos="960"/>
          </w:tabs>
          <w:ind w:left="158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8"/>
            <w:tab w:val="left" w:pos="960"/>
          </w:tabs>
          <w:ind w:left="2822"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8"/>
            <w:tab w:val="left" w:pos="960"/>
          </w:tabs>
          <w:ind w:left="406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8"/>
            <w:tab w:val="left" w:pos="960"/>
          </w:tabs>
          <w:ind w:left="5307"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8"/>
            <w:tab w:val="left" w:pos="960"/>
          </w:tabs>
          <w:ind w:left="655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8"/>
            <w:tab w:val="left" w:pos="960"/>
          </w:tabs>
          <w:ind w:left="7792"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8"/>
            <w:tab w:val="left" w:pos="960"/>
          </w:tabs>
          <w:ind w:left="903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6">
    <w:abstractNumId w:val="2"/>
  </w:num>
  <w:num w:numId="37">
    <w:abstractNumId w:val="0"/>
    <w:lvlOverride w:ilvl="0">
      <w:lvl w:ilvl="0">
        <w:start w:val="1"/>
        <w:numFmt w:val="bullet"/>
        <w:suff w:val="tab"/>
        <w:lvlText w:val="•"/>
        <w:lvlJc w:val="left"/>
        <w:pPr>
          <w:ind w:left="961"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8">
    <w:abstractNumId w:val="0"/>
    <w:lvlOverride w:ilvl="0">
      <w:lvl w:ilvl="0">
        <w:start w:val="1"/>
        <w:numFmt w:val="bullet"/>
        <w:suff w:val="tab"/>
        <w:lvlText w:val="•"/>
        <w:lvlJc w:val="left"/>
        <w:pPr>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5"/>
          </w:tabs>
          <w:ind w:left="1559"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5"/>
          </w:tabs>
          <w:ind w:left="1559" w:hanging="37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 w:val="left" w:pos="1565"/>
          </w:tabs>
          <w:ind w:left="2818"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 w:val="left" w:pos="1565"/>
          </w:tabs>
          <w:ind w:left="4061"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 w:val="left" w:pos="1565"/>
          </w:tabs>
          <w:ind w:left="5303"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 w:val="left" w:pos="1565"/>
          </w:tabs>
          <w:ind w:left="6546"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 w:val="left" w:pos="1565"/>
          </w:tabs>
          <w:ind w:left="7788"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 w:val="left" w:pos="1565"/>
          </w:tabs>
          <w:ind w:left="9031"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9">
    <w:abstractNumId w:val="0"/>
    <w:lvlOverride w:ilvl="0">
      <w:lvl w:ilvl="0">
        <w:start w:val="1"/>
        <w:numFmt w:val="bullet"/>
        <w:suff w:val="tab"/>
        <w:lvlText w:val="•"/>
        <w:lvlJc w:val="left"/>
        <w:pPr>
          <w:tabs>
            <w:tab w:val="left" w:pos="967"/>
          </w:tabs>
          <w:ind w:left="967" w:hanging="3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61"/>
            <w:tab w:val="left" w:pos="967"/>
          </w:tabs>
          <w:ind w:left="1578" w:hanging="40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61"/>
            <w:tab w:val="left" w:pos="967"/>
          </w:tabs>
          <w:ind w:left="1595" w:hanging="40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61"/>
            <w:tab w:val="left" w:pos="967"/>
          </w:tabs>
          <w:ind w:left="2837" w:hanging="40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61"/>
            <w:tab w:val="left" w:pos="967"/>
          </w:tabs>
          <w:ind w:left="4080" w:hanging="40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61"/>
            <w:tab w:val="left" w:pos="967"/>
          </w:tabs>
          <w:ind w:left="5322" w:hanging="40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61"/>
            <w:tab w:val="left" w:pos="967"/>
          </w:tabs>
          <w:ind w:left="6565" w:hanging="40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61"/>
            <w:tab w:val="left" w:pos="967"/>
          </w:tabs>
          <w:ind w:left="7807" w:hanging="40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61"/>
            <w:tab w:val="left" w:pos="967"/>
          </w:tabs>
          <w:ind w:left="9050" w:hanging="40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0">
    <w:abstractNumId w:val="0"/>
    <w:lvlOverride w:ilvl="0">
      <w:lvl w:ilvl="0">
        <w:start w:val="1"/>
        <w:numFmt w:val="bullet"/>
        <w:suff w:val="tab"/>
        <w:lvlText w:val="•"/>
        <w:lvlJc w:val="left"/>
        <w:pPr>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6"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6" w:hanging="37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6"/>
          </w:tabs>
          <w:ind w:left="2825"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6"/>
          </w:tabs>
          <w:ind w:left="4068"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6"/>
          </w:tabs>
          <w:ind w:left="5310"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6"/>
          </w:tabs>
          <w:ind w:left="65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6"/>
          </w:tabs>
          <w:ind w:left="7795"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6"/>
          </w:tabs>
          <w:ind w:left="9038"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1">
    <w:abstractNumId w:val="0"/>
    <w:lvlOverride w:ilvl="0">
      <w:lvl w:ilvl="0">
        <w:start w:val="1"/>
        <w:numFmt w:val="bullet"/>
        <w:suff w:val="tab"/>
        <w:lvlText w:val="•"/>
        <w:lvlJc w:val="left"/>
        <w:pPr>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5"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5"/>
          </w:tabs>
          <w:ind w:left="282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5"/>
          </w:tabs>
          <w:ind w:left="406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5"/>
          </w:tabs>
          <w:ind w:left="5309"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5"/>
          </w:tabs>
          <w:ind w:left="6552"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5"/>
          </w:tabs>
          <w:ind w:left="7794"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5"/>
          </w:tabs>
          <w:ind w:left="903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2">
    <w:abstractNumId w:val="0"/>
    <w:lvlOverride w:ilvl="0">
      <w:lvl w:ilvl="0">
        <w:start w:val="1"/>
        <w:numFmt w:val="bullet"/>
        <w:suff w:val="tab"/>
        <w:lvlText w:val="•"/>
        <w:lvlJc w:val="left"/>
        <w:pPr>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6"/>
          </w:tabs>
          <w:ind w:left="1566"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6"/>
          </w:tabs>
          <w:ind w:left="1566" w:hanging="37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0"/>
            <w:tab w:val="left" w:pos="1566"/>
          </w:tabs>
          <w:ind w:left="2831" w:hanging="39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0"/>
            <w:tab w:val="left" w:pos="1566"/>
          </w:tabs>
          <w:ind w:left="4074" w:hanging="39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0"/>
            <w:tab w:val="left" w:pos="1566"/>
          </w:tabs>
          <w:ind w:left="5316" w:hanging="39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0"/>
            <w:tab w:val="left" w:pos="1566"/>
          </w:tabs>
          <w:ind w:left="6559" w:hanging="39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0"/>
            <w:tab w:val="left" w:pos="1566"/>
          </w:tabs>
          <w:ind w:left="7801" w:hanging="39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0"/>
            <w:tab w:val="left" w:pos="1566"/>
          </w:tabs>
          <w:ind w:left="9044" w:hanging="39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0"/>
    <w:lvlOverride w:ilvl="0">
      <w:lvl w:ilvl="0">
        <w:start w:val="1"/>
        <w:numFmt w:val="bullet"/>
        <w:suff w:val="tab"/>
        <w:lvlText w:val="•"/>
        <w:lvlJc w:val="left"/>
        <w:pPr>
          <w:tabs>
            <w:tab w:val="left" w:pos="961"/>
          </w:tabs>
          <w:ind w:left="956"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6"/>
            <w:tab w:val="left" w:pos="961"/>
          </w:tabs>
          <w:ind w:left="1561"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6"/>
            <w:tab w:val="left" w:pos="961"/>
          </w:tabs>
          <w:ind w:left="157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6"/>
            <w:tab w:val="left" w:pos="961"/>
          </w:tabs>
          <w:ind w:left="2820"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6"/>
            <w:tab w:val="left" w:pos="961"/>
          </w:tabs>
          <w:ind w:left="406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6"/>
            <w:tab w:val="left" w:pos="961"/>
          </w:tabs>
          <w:ind w:left="5305"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6"/>
            <w:tab w:val="left" w:pos="961"/>
          </w:tabs>
          <w:ind w:left="654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6"/>
            <w:tab w:val="left" w:pos="961"/>
          </w:tabs>
          <w:ind w:left="7790"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6"/>
            <w:tab w:val="left" w:pos="961"/>
          </w:tabs>
          <w:ind w:left="903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4">
    <w:abstractNumId w:val="0"/>
    <w:lvlOverride w:ilvl="0">
      <w:lvl w:ilvl="0">
        <w:start w:val="1"/>
        <w:numFmt w:val="bullet"/>
        <w:suff w:val="tab"/>
        <w:lvlText w:val="•"/>
        <w:lvlJc w:val="left"/>
        <w:pPr>
          <w:ind w:left="956"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6"/>
          </w:tabs>
          <w:ind w:left="1561"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6"/>
          </w:tabs>
          <w:ind w:left="157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6"/>
          </w:tabs>
          <w:ind w:left="2820"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6"/>
          </w:tabs>
          <w:ind w:left="406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6"/>
          </w:tabs>
          <w:ind w:left="5305"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6"/>
          </w:tabs>
          <w:ind w:left="654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6"/>
          </w:tabs>
          <w:ind w:left="7790"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6"/>
          </w:tabs>
          <w:ind w:left="903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5">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5"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5"/>
          </w:tabs>
          <w:ind w:left="282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5"/>
          </w:tabs>
          <w:ind w:left="406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5"/>
          </w:tabs>
          <w:ind w:left="5309"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5"/>
          </w:tabs>
          <w:ind w:left="6552"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5"/>
          </w:tabs>
          <w:ind w:left="7794"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5"/>
          </w:tabs>
          <w:ind w:left="903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6">
    <w:abstractNumId w:val="0"/>
    <w:lvlOverride w:ilvl="0">
      <w:lvl w:ilvl="0">
        <w:start w:val="1"/>
        <w:numFmt w:val="bullet"/>
        <w:suff w:val="tab"/>
        <w:lvlText w:val="•"/>
        <w:lvlJc w:val="left"/>
        <w:pPr>
          <w:tabs>
            <w:tab w:val="left" w:pos="963"/>
          </w:tabs>
          <w:ind w:left="958"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8"/>
            <w:tab w:val="left" w:pos="963"/>
          </w:tabs>
          <w:ind w:left="1563"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8"/>
            <w:tab w:val="left" w:pos="963"/>
          </w:tabs>
          <w:ind w:left="158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8"/>
            <w:tab w:val="left" w:pos="963"/>
          </w:tabs>
          <w:ind w:left="2822"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8"/>
            <w:tab w:val="left" w:pos="963"/>
          </w:tabs>
          <w:ind w:left="406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8"/>
            <w:tab w:val="left" w:pos="963"/>
          </w:tabs>
          <w:ind w:left="5307"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8"/>
            <w:tab w:val="left" w:pos="963"/>
          </w:tabs>
          <w:ind w:left="655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8"/>
            <w:tab w:val="left" w:pos="963"/>
          </w:tabs>
          <w:ind w:left="7792"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8"/>
            <w:tab w:val="left" w:pos="963"/>
          </w:tabs>
          <w:ind w:left="903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7">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3"/>
          </w:tabs>
          <w:ind w:left="282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3"/>
          </w:tabs>
          <w:ind w:left="40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3"/>
          </w:tabs>
          <w:ind w:left="530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3"/>
          </w:tabs>
          <w:ind w:left="6550"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3"/>
          </w:tabs>
          <w:ind w:left="779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3"/>
          </w:tabs>
          <w:ind w:left="903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8">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2" w:hanging="37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2"/>
          </w:tabs>
          <w:ind w:left="2821"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2"/>
          </w:tabs>
          <w:ind w:left="406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2"/>
          </w:tabs>
          <w:ind w:left="5306"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2"/>
          </w:tabs>
          <w:ind w:left="654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2"/>
          </w:tabs>
          <w:ind w:left="7791"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2"/>
          </w:tabs>
          <w:ind w:left="903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9">
    <w:abstractNumId w:val="0"/>
    <w:lvlOverride w:ilvl="0">
      <w:lvl w:ilvl="0">
        <w:start w:val="1"/>
        <w:numFmt w:val="bullet"/>
        <w:suff w:val="tab"/>
        <w:lvlText w:val="•"/>
        <w:lvlJc w:val="left"/>
        <w:pPr>
          <w:tabs>
            <w:tab w:val="left" w:pos="970"/>
          </w:tabs>
          <w:ind w:left="970" w:hanging="39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2" w:hanging="37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2"/>
          </w:tabs>
          <w:ind w:left="2821"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2"/>
          </w:tabs>
          <w:ind w:left="406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2"/>
          </w:tabs>
          <w:ind w:left="5306"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2"/>
          </w:tabs>
          <w:ind w:left="654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2"/>
          </w:tabs>
          <w:ind w:left="7791"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2"/>
          </w:tabs>
          <w:ind w:left="903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0">
    <w:abstractNumId w:val="0"/>
    <w:lvlOverride w:ilvl="0">
      <w:lvl w:ilvl="0">
        <w:start w:val="1"/>
        <w:numFmt w:val="bullet"/>
        <w:suff w:val="tab"/>
        <w:lvlText w:val="•"/>
        <w:lvlJc w:val="left"/>
        <w:pPr>
          <w:ind w:left="970" w:hanging="39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3"/>
          </w:tabs>
          <w:ind w:left="282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3"/>
          </w:tabs>
          <w:ind w:left="40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3"/>
          </w:tabs>
          <w:ind w:left="530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3"/>
          </w:tabs>
          <w:ind w:left="6550"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3"/>
          </w:tabs>
          <w:ind w:left="779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3"/>
          </w:tabs>
          <w:ind w:left="903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1">
    <w:abstractNumId w:val="0"/>
    <w:lvlOverride w:ilvl="0">
      <w:lvl w:ilvl="0">
        <w:start w:val="1"/>
        <w:numFmt w:val="bullet"/>
        <w:suff w:val="tab"/>
        <w:lvlText w:val="•"/>
        <w:lvlJc w:val="left"/>
        <w:pPr>
          <w:tabs>
            <w:tab w:val="left" w:pos="963"/>
          </w:tabs>
          <w:ind w:left="963"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2">
    <w:abstractNumId w:val="0"/>
    <w:lvlOverride w:ilvl="0">
      <w:lvl w:ilvl="0">
        <w:start w:val="1"/>
        <w:numFmt w:val="bullet"/>
        <w:suff w:val="tab"/>
        <w:lvlText w:val="•"/>
        <w:lvlJc w:val="left"/>
        <w:pPr>
          <w:tabs>
            <w:tab w:val="left" w:pos="961"/>
          </w:tabs>
          <w:ind w:left="958"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8"/>
            <w:tab w:val="left" w:pos="961"/>
          </w:tabs>
          <w:ind w:left="1563"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8"/>
            <w:tab w:val="left" w:pos="961"/>
          </w:tabs>
          <w:ind w:left="1580"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8"/>
            <w:tab w:val="left" w:pos="961"/>
          </w:tabs>
          <w:ind w:left="282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8"/>
            <w:tab w:val="left" w:pos="961"/>
          </w:tabs>
          <w:ind w:left="4065"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8"/>
            <w:tab w:val="left" w:pos="961"/>
          </w:tabs>
          <w:ind w:left="5307"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8"/>
            <w:tab w:val="left" w:pos="961"/>
          </w:tabs>
          <w:ind w:left="6550"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8"/>
            <w:tab w:val="left" w:pos="961"/>
          </w:tabs>
          <w:ind w:left="7792"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8"/>
            <w:tab w:val="left" w:pos="961"/>
          </w:tabs>
          <w:ind w:left="9035"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3">
    <w:abstractNumId w:val="0"/>
    <w:lvlOverride w:ilvl="0">
      <w:lvl w:ilvl="0">
        <w:start w:val="1"/>
        <w:numFmt w:val="bullet"/>
        <w:suff w:val="tab"/>
        <w:lvlText w:val="•"/>
        <w:lvlJc w:val="left"/>
        <w:pPr>
          <w:tabs>
            <w:tab w:val="left" w:pos="960"/>
          </w:tabs>
          <w:ind w:left="958"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60"/>
          </w:tabs>
          <w:ind w:left="1563"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60"/>
          </w:tabs>
          <w:ind w:left="1580"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60"/>
          </w:tabs>
          <w:ind w:left="282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60"/>
          </w:tabs>
          <w:ind w:left="4065"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60"/>
          </w:tabs>
          <w:ind w:left="5307"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60"/>
          </w:tabs>
          <w:ind w:left="6550"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60"/>
          </w:tabs>
          <w:ind w:left="7792"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60"/>
          </w:tabs>
          <w:ind w:left="9035"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4">
    <w:abstractNumId w:val="0"/>
    <w:lvlOverride w:ilvl="0">
      <w:lvl w:ilvl="0">
        <w:start w:val="1"/>
        <w:numFmt w:val="bullet"/>
        <w:suff w:val="tab"/>
        <w:lvlText w:val="•"/>
        <w:lvlJc w:val="left"/>
        <w:pPr>
          <w:tabs>
            <w:tab w:val="left" w:pos="961"/>
          </w:tabs>
          <w:ind w:left="958"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6"/>
            <w:tab w:val="left" w:pos="961"/>
          </w:tabs>
          <w:ind w:left="1565"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6"/>
            <w:tab w:val="left" w:pos="961"/>
          </w:tabs>
          <w:ind w:left="1582"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6"/>
            <w:tab w:val="left" w:pos="961"/>
          </w:tabs>
          <w:ind w:left="2824"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6"/>
            <w:tab w:val="left" w:pos="961"/>
          </w:tabs>
          <w:ind w:left="4067"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6"/>
            <w:tab w:val="left" w:pos="961"/>
          </w:tabs>
          <w:ind w:left="5309"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6"/>
            <w:tab w:val="left" w:pos="961"/>
          </w:tabs>
          <w:ind w:left="6552"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6"/>
            <w:tab w:val="left" w:pos="961"/>
          </w:tabs>
          <w:ind w:left="7794"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6"/>
            <w:tab w:val="left" w:pos="961"/>
          </w:tabs>
          <w:ind w:left="9037"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5">
    <w:abstractNumId w:val="0"/>
    <w:lvlOverride w:ilvl="0">
      <w:lvl w:ilvl="0">
        <w:start w:val="1"/>
        <w:numFmt w:val="bullet"/>
        <w:suff w:val="tab"/>
        <w:lvlText w:val="•"/>
        <w:lvlJc w:val="left"/>
        <w:pPr>
          <w:tabs>
            <w:tab w:val="left" w:pos="962"/>
          </w:tabs>
          <w:ind w:left="958"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62"/>
          </w:tabs>
          <w:ind w:left="1563"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62"/>
          </w:tabs>
          <w:ind w:left="1580"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62"/>
          </w:tabs>
          <w:ind w:left="282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62"/>
          </w:tabs>
          <w:ind w:left="4065"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62"/>
          </w:tabs>
          <w:ind w:left="5307"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62"/>
          </w:tabs>
          <w:ind w:left="6550"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62"/>
          </w:tabs>
          <w:ind w:left="7792"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62"/>
          </w:tabs>
          <w:ind w:left="9035"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6">
    <w:abstractNumId w:val="0"/>
    <w:lvlOverride w:ilvl="0">
      <w:lvl w:ilvl="0">
        <w:start w:val="1"/>
        <w:numFmt w:val="bullet"/>
        <w:suff w:val="tab"/>
        <w:lvlText w:val="•"/>
        <w:lvlJc w:val="left"/>
        <w:pPr>
          <w:ind w:left="957"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7"/>
          </w:tabs>
          <w:ind w:left="1562"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7"/>
          </w:tabs>
          <w:ind w:left="157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7"/>
          </w:tabs>
          <w:ind w:left="282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7"/>
          </w:tabs>
          <w:ind w:left="4064"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7"/>
          </w:tabs>
          <w:ind w:left="5306"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7"/>
          </w:tabs>
          <w:ind w:left="654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7"/>
          </w:tabs>
          <w:ind w:left="7791"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7"/>
          </w:tabs>
          <w:ind w:left="9034"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7">
    <w:abstractNumId w:val="0"/>
    <w:lvlOverride w:ilvl="0">
      <w:lvl w:ilvl="0">
        <w:start w:val="1"/>
        <w:numFmt w:val="bullet"/>
        <w:suff w:val="tab"/>
        <w:lvlText w:val="•"/>
        <w:lvlJc w:val="left"/>
        <w:pPr>
          <w:tabs>
            <w:tab w:val="left" w:pos="961"/>
          </w:tabs>
          <w:ind w:left="958"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8">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3"/>
          </w:tabs>
          <w:ind w:left="282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3"/>
          </w:tabs>
          <w:ind w:left="40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3"/>
          </w:tabs>
          <w:ind w:left="530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3"/>
          </w:tabs>
          <w:ind w:left="6550"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3"/>
          </w:tabs>
          <w:ind w:left="779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3"/>
          </w:tabs>
          <w:ind w:left="903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9">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0"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0" w:hanging="37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0"/>
          </w:tabs>
          <w:ind w:left="2819"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0"/>
          </w:tabs>
          <w:ind w:left="4062"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0"/>
          </w:tabs>
          <w:ind w:left="5304"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0"/>
          </w:tabs>
          <w:ind w:left="6547"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0"/>
          </w:tabs>
          <w:ind w:left="7789"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0"/>
          </w:tabs>
          <w:ind w:left="9032"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0">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5"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5"/>
          </w:tabs>
          <w:ind w:left="282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5"/>
          </w:tabs>
          <w:ind w:left="406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5"/>
          </w:tabs>
          <w:ind w:left="5309"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5"/>
          </w:tabs>
          <w:ind w:left="6552"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5"/>
          </w:tabs>
          <w:ind w:left="7794"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5"/>
          </w:tabs>
          <w:ind w:left="903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1">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3"/>
          </w:tabs>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3"/>
          </w:tabs>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 w:val="left" w:pos="1563"/>
          </w:tabs>
          <w:ind w:left="2826"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 w:val="left" w:pos="1563"/>
          </w:tabs>
          <w:ind w:left="4069"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 w:val="left" w:pos="1563"/>
          </w:tabs>
          <w:ind w:left="5311"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 w:val="left" w:pos="1563"/>
          </w:tabs>
          <w:ind w:left="6554"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 w:val="left" w:pos="1563"/>
          </w:tabs>
          <w:ind w:left="7796"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 w:val="left" w:pos="1563"/>
          </w:tabs>
          <w:ind w:left="9039"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2">
    <w:abstractNumId w:val="0"/>
    <w:lvlOverride w:ilvl="0">
      <w:lvl w:ilvl="0">
        <w:start w:val="1"/>
        <w:numFmt w:val="bullet"/>
        <w:suff w:val="tab"/>
        <w:lvlText w:val="•"/>
        <w:lvlJc w:val="left"/>
        <w:pPr>
          <w:ind w:left="958"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3"/>
          </w:tabs>
          <w:ind w:left="282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3"/>
          </w:tabs>
          <w:ind w:left="40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3"/>
          </w:tabs>
          <w:ind w:left="530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3"/>
          </w:tabs>
          <w:ind w:left="6550"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3"/>
          </w:tabs>
          <w:ind w:left="779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3"/>
          </w:tabs>
          <w:ind w:left="903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3">
    <w:abstractNumId w:val="0"/>
    <w:lvlOverride w:ilvl="0">
      <w:lvl w:ilvl="0">
        <w:start w:val="1"/>
        <w:numFmt w:val="bullet"/>
        <w:suff w:val="tab"/>
        <w:lvlText w:val="•"/>
        <w:lvlJc w:val="left"/>
        <w:pPr>
          <w:ind w:left="958"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8"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8" w:hanging="37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8"/>
          </w:tabs>
          <w:ind w:left="2827"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8"/>
          </w:tabs>
          <w:ind w:left="4070"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8"/>
          </w:tabs>
          <w:ind w:left="5312"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8"/>
          </w:tabs>
          <w:ind w:left="6555"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8"/>
          </w:tabs>
          <w:ind w:left="7797"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8"/>
          </w:tabs>
          <w:ind w:left="9040"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4">
    <w:abstractNumId w:val="0"/>
    <w:lvlOverride w:ilvl="0">
      <w:lvl w:ilvl="0">
        <w:start w:val="1"/>
        <w:numFmt w:val="bullet"/>
        <w:suff w:val="tab"/>
        <w:lvlText w:val="•"/>
        <w:lvlJc w:val="left"/>
        <w:pPr>
          <w:tabs>
            <w:tab w:val="left" w:pos="966"/>
          </w:tabs>
          <w:ind w:left="966"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3"/>
          </w:tabs>
          <w:ind w:left="282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3"/>
          </w:tabs>
          <w:ind w:left="40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3"/>
          </w:tabs>
          <w:ind w:left="530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3"/>
          </w:tabs>
          <w:ind w:left="6550"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3"/>
          </w:tabs>
          <w:ind w:left="779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3"/>
          </w:tabs>
          <w:ind w:left="903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5">
    <w:abstractNumId w:val="0"/>
    <w:lvlOverride w:ilvl="0">
      <w:lvl w:ilvl="0">
        <w:start w:val="1"/>
        <w:numFmt w:val="bullet"/>
        <w:suff w:val="tab"/>
        <w:lvlText w:val="•"/>
        <w:lvlJc w:val="left"/>
        <w:pPr>
          <w:ind w:left="966"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7"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7" w:hanging="37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7"/>
          </w:tabs>
          <w:ind w:left="2826"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7"/>
          </w:tabs>
          <w:ind w:left="4069"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7"/>
          </w:tabs>
          <w:ind w:left="5311"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7"/>
          </w:tabs>
          <w:ind w:left="6554"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7"/>
          </w:tabs>
          <w:ind w:left="7796"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7"/>
          </w:tabs>
          <w:ind w:left="9039"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6">
    <w:abstractNumId w:val="0"/>
    <w:lvlOverride w:ilvl="0">
      <w:lvl w:ilvl="0">
        <w:start w:val="1"/>
        <w:numFmt w:val="bullet"/>
        <w:suff w:val="tab"/>
        <w:lvlText w:val="•"/>
        <w:lvlJc w:val="left"/>
        <w:pPr>
          <w:ind w:left="958"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8"/>
          </w:tabs>
          <w:ind w:left="1563"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8"/>
          </w:tabs>
          <w:ind w:left="158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8"/>
          </w:tabs>
          <w:ind w:left="2822"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8"/>
          </w:tabs>
          <w:ind w:left="406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8"/>
          </w:tabs>
          <w:ind w:left="5307"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8"/>
          </w:tabs>
          <w:ind w:left="655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8"/>
          </w:tabs>
          <w:ind w:left="7792"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8"/>
          </w:tabs>
          <w:ind w:left="903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7">
    <w:abstractNumId w:val="0"/>
    <w:lvlOverride w:ilvl="0">
      <w:lvl w:ilvl="0">
        <w:start w:val="1"/>
        <w:numFmt w:val="bullet"/>
        <w:suff w:val="tab"/>
        <w:lvlText w:val="•"/>
        <w:lvlJc w:val="left"/>
        <w:pPr>
          <w:tabs>
            <w:tab w:val="left" w:pos="963"/>
          </w:tabs>
          <w:ind w:left="956"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6"/>
            <w:tab w:val="left" w:pos="963"/>
          </w:tabs>
          <w:ind w:left="1561"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6"/>
            <w:tab w:val="left" w:pos="963"/>
          </w:tabs>
          <w:ind w:left="157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6"/>
            <w:tab w:val="left" w:pos="963"/>
          </w:tabs>
          <w:ind w:left="2820"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6"/>
            <w:tab w:val="left" w:pos="963"/>
          </w:tabs>
          <w:ind w:left="406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6"/>
            <w:tab w:val="left" w:pos="963"/>
          </w:tabs>
          <w:ind w:left="5305"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6"/>
            <w:tab w:val="left" w:pos="963"/>
          </w:tabs>
          <w:ind w:left="654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6"/>
            <w:tab w:val="left" w:pos="963"/>
          </w:tabs>
          <w:ind w:left="7790"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6"/>
            <w:tab w:val="left" w:pos="963"/>
          </w:tabs>
          <w:ind w:left="903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8">
    <w:abstractNumId w:val="0"/>
    <w:lvlOverride w:ilvl="0">
      <w:lvl w:ilvl="0">
        <w:start w:val="1"/>
        <w:numFmt w:val="bullet"/>
        <w:suff w:val="tab"/>
        <w:lvlText w:val="•"/>
        <w:lvlJc w:val="left"/>
        <w:pPr>
          <w:tabs>
            <w:tab w:val="left" w:pos="964"/>
          </w:tabs>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9">
    <w:abstractNumId w:val="0"/>
    <w:lvlOverride w:ilvl="0">
      <w:lvl w:ilvl="0">
        <w:start w:val="1"/>
        <w:numFmt w:val="bullet"/>
        <w:suff w:val="tab"/>
        <w:lvlText w:val="•"/>
        <w:lvlJc w:val="left"/>
        <w:pPr>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num" w:pos="1565"/>
          </w:tabs>
          <w:ind w:left="964" w:firstLine="20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num" w:pos="1582"/>
          </w:tabs>
          <w:ind w:left="981" w:firstLine="22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5"/>
            <w:tab w:val="num" w:pos="2824"/>
          </w:tabs>
          <w:ind w:left="2223" w:firstLine="15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5"/>
            <w:tab w:val="num" w:pos="4067"/>
          </w:tabs>
          <w:ind w:left="3466" w:hanging="4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5"/>
          </w:tabs>
          <w:ind w:left="4708" w:hanging="24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5"/>
            <w:tab w:val="num" w:pos="6552"/>
          </w:tabs>
          <w:ind w:left="5951" w:firstLine="27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5"/>
            <w:tab w:val="num" w:pos="7794"/>
          </w:tabs>
          <w:ind w:left="7193" w:firstLine="8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5"/>
          </w:tabs>
          <w:ind w:left="8436" w:hanging="11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0">
    <w:abstractNumId w:val="0"/>
    <w:lvlOverride w:ilvl="0">
      <w:lvl w:ilvl="0">
        <w:start w:val="1"/>
        <w:numFmt w:val="bullet"/>
        <w:suff w:val="tab"/>
        <w:lvlText w:val="•"/>
        <w:lvlJc w:val="left"/>
        <w:pPr>
          <w:tabs>
            <w:tab w:val="left" w:pos="969"/>
          </w:tabs>
          <w:ind w:left="969" w:hanging="39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61"/>
            <w:tab w:val="left" w:pos="969"/>
          </w:tabs>
          <w:ind w:left="1582" w:hanging="40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61"/>
            <w:tab w:val="left" w:pos="969"/>
          </w:tabs>
          <w:ind w:left="1599" w:hanging="40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61"/>
            <w:tab w:val="left" w:pos="969"/>
          </w:tabs>
          <w:ind w:left="2841" w:hanging="40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61"/>
            <w:tab w:val="left" w:pos="969"/>
          </w:tabs>
          <w:ind w:left="4084" w:hanging="40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61"/>
            <w:tab w:val="left" w:pos="969"/>
          </w:tabs>
          <w:ind w:left="5326" w:hanging="40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61"/>
            <w:tab w:val="left" w:pos="969"/>
          </w:tabs>
          <w:ind w:left="6569" w:hanging="40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61"/>
            <w:tab w:val="left" w:pos="969"/>
          </w:tabs>
          <w:ind w:left="7811" w:hanging="40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61"/>
            <w:tab w:val="left" w:pos="969"/>
          </w:tabs>
          <w:ind w:left="9054" w:hanging="40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1">
    <w:abstractNumId w:val="0"/>
    <w:lvlOverride w:ilvl="0">
      <w:lvl w:ilvl="0">
        <w:start w:val="1"/>
        <w:numFmt w:val="bullet"/>
        <w:suff w:val="tab"/>
        <w:lvlText w:val="•"/>
        <w:lvlJc w:val="left"/>
        <w:pPr>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8"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8" w:hanging="37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8"/>
          </w:tabs>
          <w:ind w:left="2827"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8"/>
          </w:tabs>
          <w:ind w:left="4070"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8"/>
          </w:tabs>
          <w:ind w:left="5312"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8"/>
          </w:tabs>
          <w:ind w:left="6555"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8"/>
          </w:tabs>
          <w:ind w:left="7797"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8"/>
          </w:tabs>
          <w:ind w:left="9040"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2">
    <w:abstractNumId w:val="0"/>
    <w:lvlOverride w:ilvl="0">
      <w:lvl w:ilvl="0">
        <w:start w:val="1"/>
        <w:numFmt w:val="bullet"/>
        <w:suff w:val="tab"/>
        <w:lvlText w:val="•"/>
        <w:lvlJc w:val="left"/>
        <w:pPr>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0"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0" w:hanging="37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0"/>
          </w:tabs>
          <w:ind w:left="2819"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0"/>
          </w:tabs>
          <w:ind w:left="4062"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0"/>
          </w:tabs>
          <w:ind w:left="5304"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0"/>
          </w:tabs>
          <w:ind w:left="6547"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0"/>
          </w:tabs>
          <w:ind w:left="7789"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0"/>
          </w:tabs>
          <w:ind w:left="9032"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3">
    <w:abstractNumId w:val="0"/>
    <w:lvlOverride w:ilvl="0">
      <w:lvl w:ilvl="0">
        <w:start w:val="1"/>
        <w:numFmt w:val="bullet"/>
        <w:suff w:val="tab"/>
        <w:lvlText w:val="•"/>
        <w:lvlJc w:val="left"/>
        <w:pPr>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8"/>
          </w:tabs>
          <w:ind w:left="1568"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8"/>
          </w:tabs>
          <w:ind w:left="1568" w:hanging="37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 w:val="left" w:pos="1568"/>
          </w:tabs>
          <w:ind w:left="2836" w:hanging="40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 w:val="left" w:pos="1568"/>
          </w:tabs>
          <w:ind w:left="4079" w:hanging="40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 w:val="left" w:pos="1568"/>
          </w:tabs>
          <w:ind w:left="5321" w:hanging="4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 w:val="left" w:pos="1568"/>
          </w:tabs>
          <w:ind w:left="6564" w:hanging="40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 w:val="left" w:pos="1568"/>
          </w:tabs>
          <w:ind w:left="7806" w:hanging="4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 w:val="left" w:pos="1568"/>
          </w:tabs>
          <w:ind w:left="9049" w:hanging="40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4">
    <w:abstractNumId w:val="0"/>
    <w:lvlOverride w:ilvl="0">
      <w:lvl w:ilvl="0">
        <w:start w:val="1"/>
        <w:numFmt w:val="bullet"/>
        <w:suff w:val="tab"/>
        <w:lvlText w:val="•"/>
        <w:lvlJc w:val="left"/>
        <w:pPr>
          <w:tabs>
            <w:tab w:val="left" w:pos="962"/>
          </w:tabs>
          <w:ind w:left="958"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8"/>
            <w:tab w:val="left" w:pos="962"/>
          </w:tabs>
          <w:ind w:left="1563"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8"/>
            <w:tab w:val="left" w:pos="962"/>
          </w:tabs>
          <w:ind w:left="158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8"/>
            <w:tab w:val="left" w:pos="962"/>
          </w:tabs>
          <w:ind w:left="2822"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8"/>
            <w:tab w:val="left" w:pos="962"/>
          </w:tabs>
          <w:ind w:left="406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8"/>
            <w:tab w:val="left" w:pos="962"/>
          </w:tabs>
          <w:ind w:left="5307"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8"/>
            <w:tab w:val="left" w:pos="962"/>
          </w:tabs>
          <w:ind w:left="655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8"/>
            <w:tab w:val="left" w:pos="962"/>
          </w:tabs>
          <w:ind w:left="7792"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8"/>
            <w:tab w:val="left" w:pos="962"/>
          </w:tabs>
          <w:ind w:left="903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5">
    <w:abstractNumId w:val="0"/>
    <w:lvlOverride w:ilvl="0">
      <w:lvl w:ilvl="0">
        <w:start w:val="1"/>
        <w:numFmt w:val="bullet"/>
        <w:suff w:val="tab"/>
        <w:lvlText w:val="•"/>
        <w:lvlJc w:val="left"/>
        <w:pPr>
          <w:tabs>
            <w:tab w:val="left" w:pos="967"/>
          </w:tabs>
          <w:ind w:left="967" w:hanging="3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62"/>
            <w:tab w:val="left" w:pos="967"/>
          </w:tabs>
          <w:ind w:left="1577" w:hanging="40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62"/>
            <w:tab w:val="left" w:pos="967"/>
          </w:tabs>
          <w:ind w:left="1594" w:hanging="40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62"/>
            <w:tab w:val="left" w:pos="967"/>
          </w:tabs>
          <w:ind w:left="2836" w:hanging="40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62"/>
            <w:tab w:val="left" w:pos="967"/>
          </w:tabs>
          <w:ind w:left="4079" w:hanging="40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62"/>
            <w:tab w:val="left" w:pos="967"/>
          </w:tabs>
          <w:ind w:left="5321" w:hanging="4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62"/>
            <w:tab w:val="left" w:pos="967"/>
          </w:tabs>
          <w:ind w:left="6564" w:hanging="40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62"/>
            <w:tab w:val="left" w:pos="967"/>
          </w:tabs>
          <w:ind w:left="7806" w:hanging="4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62"/>
            <w:tab w:val="left" w:pos="967"/>
          </w:tabs>
          <w:ind w:left="9049" w:hanging="40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6">
    <w:abstractNumId w:val="0"/>
    <w:lvlOverride w:ilvl="0">
      <w:lvl w:ilvl="0">
        <w:start w:val="1"/>
        <w:numFmt w:val="bullet"/>
        <w:suff w:val="tab"/>
        <w:lvlText w:val="•"/>
        <w:lvlJc w:val="left"/>
        <w:pPr>
          <w:ind w:left="963"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1"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1" w:hanging="37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1"/>
          </w:tabs>
          <w:ind w:left="2820"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1"/>
          </w:tabs>
          <w:ind w:left="4063"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1"/>
          </w:tabs>
          <w:ind w:left="5305"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1"/>
          </w:tabs>
          <w:ind w:left="6548"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1"/>
          </w:tabs>
          <w:ind w:left="7790"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1"/>
          </w:tabs>
          <w:ind w:left="9033"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7">
    <w:abstractNumId w:val="0"/>
    <w:lvlOverride w:ilvl="0">
      <w:lvl w:ilvl="0">
        <w:start w:val="1"/>
        <w:numFmt w:val="bullet"/>
        <w:suff w:val="tab"/>
        <w:lvlText w:val="•"/>
        <w:lvlJc w:val="left"/>
        <w:pPr>
          <w:ind w:left="963"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3"/>
          </w:tabs>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3"/>
          </w:tabs>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1"/>
            <w:tab w:val="left" w:pos="1563"/>
          </w:tabs>
          <w:ind w:left="282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1"/>
            <w:tab w:val="left" w:pos="1563"/>
          </w:tabs>
          <w:ind w:left="406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1"/>
            <w:tab w:val="left" w:pos="1563"/>
          </w:tabs>
          <w:ind w:left="5309"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1"/>
            <w:tab w:val="left" w:pos="1563"/>
          </w:tabs>
          <w:ind w:left="6552"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1"/>
            <w:tab w:val="left" w:pos="1563"/>
          </w:tabs>
          <w:ind w:left="7794"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1"/>
            <w:tab w:val="left" w:pos="1563"/>
          </w:tabs>
          <w:ind w:left="903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8">
    <w:abstractNumId w:val="0"/>
    <w:lvlOverride w:ilvl="0">
      <w:lvl w:ilvl="0">
        <w:start w:val="1"/>
        <w:numFmt w:val="bullet"/>
        <w:suff w:val="tab"/>
        <w:lvlText w:val="•"/>
        <w:lvlJc w:val="left"/>
        <w:pPr>
          <w:ind w:left="963"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1"/>
          </w:tabs>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1"/>
          </w:tabs>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 w:val="left" w:pos="1561"/>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 w:val="left" w:pos="1561"/>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 w:val="left" w:pos="1561"/>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 w:val="left" w:pos="1561"/>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 w:val="left" w:pos="1561"/>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 w:val="left" w:pos="1561"/>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9">
    <w:abstractNumId w:val="4"/>
  </w:num>
  <w:num w:numId="80">
    <w:abstractNumId w:val="3"/>
  </w:num>
  <w:num w:numId="81">
    <w:abstractNumId w:val="3"/>
    <w:lvlOverride w:ilvl="0">
      <w:lvl w:ilvl="0">
        <w:start w:val="1"/>
        <w:numFmt w:val="bullet"/>
        <w:suff w:val="tab"/>
        <w:lvlText w:val="•"/>
        <w:lvlJc w:val="left"/>
        <w:pPr>
          <w:ind w:left="976" w:hanging="40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1">
      <w:lvl w:ilvl="1">
        <w:start w:val="1"/>
        <w:numFmt w:val="bullet"/>
        <w:suff w:val="tab"/>
        <w:lvlText w:val="•"/>
        <w:lvlJc w:val="left"/>
        <w:pPr>
          <w:tabs>
            <w:tab w:val="left" w:pos="1565"/>
          </w:tabs>
          <w:ind w:left="1521" w:hanging="34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2">
      <w:lvl w:ilvl="2">
        <w:start w:val="1"/>
        <w:numFmt w:val="bullet"/>
        <w:suff w:val="tab"/>
        <w:lvlText w:val="•"/>
        <w:lvlJc w:val="left"/>
        <w:pPr>
          <w:tabs>
            <w:tab w:val="left" w:pos="1565"/>
          </w:tabs>
          <w:ind w:left="2624" w:hanging="349"/>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3">
      <w:lvl w:ilvl="3">
        <w:start w:val="1"/>
        <w:numFmt w:val="bullet"/>
        <w:suff w:val="tab"/>
        <w:lvlText w:val="•"/>
        <w:lvlJc w:val="left"/>
        <w:pPr>
          <w:tabs>
            <w:tab w:val="left" w:pos="1565"/>
          </w:tabs>
          <w:ind w:left="3731" w:hanging="349"/>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4">
      <w:lvl w:ilvl="4">
        <w:start w:val="1"/>
        <w:numFmt w:val="bullet"/>
        <w:suff w:val="tab"/>
        <w:lvlText w:val="•"/>
        <w:lvlJc w:val="left"/>
        <w:pPr>
          <w:tabs>
            <w:tab w:val="left" w:pos="1565"/>
          </w:tabs>
          <w:ind w:left="4838" w:hanging="349"/>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5">
      <w:lvl w:ilvl="5">
        <w:start w:val="1"/>
        <w:numFmt w:val="bullet"/>
        <w:suff w:val="tab"/>
        <w:lvlText w:val="•"/>
        <w:lvlJc w:val="left"/>
        <w:pPr>
          <w:tabs>
            <w:tab w:val="left" w:pos="1565"/>
          </w:tabs>
          <w:ind w:left="5944" w:hanging="34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6">
      <w:lvl w:ilvl="6">
        <w:start w:val="1"/>
        <w:numFmt w:val="bullet"/>
        <w:suff w:val="tab"/>
        <w:lvlText w:val="•"/>
        <w:lvlJc w:val="left"/>
        <w:pPr>
          <w:tabs>
            <w:tab w:val="left" w:pos="1565"/>
          </w:tabs>
          <w:ind w:left="7051" w:hanging="349"/>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7">
      <w:lvl w:ilvl="7">
        <w:start w:val="1"/>
        <w:numFmt w:val="bullet"/>
        <w:suff w:val="tab"/>
        <w:lvlText w:val="•"/>
        <w:lvlJc w:val="left"/>
        <w:pPr>
          <w:tabs>
            <w:tab w:val="left" w:pos="1565"/>
          </w:tabs>
          <w:ind w:left="8158" w:hanging="349"/>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8">
      <w:lvl w:ilvl="8">
        <w:start w:val="1"/>
        <w:numFmt w:val="bullet"/>
        <w:suff w:val="tab"/>
        <w:lvlText w:val="•"/>
        <w:lvlJc w:val="left"/>
        <w:pPr>
          <w:tabs>
            <w:tab w:val="left" w:pos="1565"/>
          </w:tabs>
          <w:ind w:left="9264" w:hanging="349"/>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num>
  <w:num w:numId="82">
    <w:abstractNumId w:val="3"/>
    <w:lvlOverride w:ilvl="0">
      <w:lvl w:ilvl="0">
        <w:start w:val="1"/>
        <w:numFmt w:val="bullet"/>
        <w:suff w:val="tab"/>
        <w:lvlText w:val="•"/>
        <w:lvlJc w:val="left"/>
        <w:pPr>
          <w:ind w:left="976" w:hanging="40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1">
      <w:lvl w:ilvl="1">
        <w:start w:val="1"/>
        <w:numFmt w:val="bullet"/>
        <w:suff w:val="tab"/>
        <w:lvlText w:val="•"/>
        <w:lvlJc w:val="left"/>
        <w:pPr>
          <w:tabs>
            <w:tab w:val="left" w:pos="1563"/>
          </w:tabs>
          <w:ind w:left="1520" w:hanging="347"/>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2">
      <w:lvl w:ilvl="2">
        <w:start w:val="1"/>
        <w:numFmt w:val="bullet"/>
        <w:suff w:val="tab"/>
        <w:lvlText w:val="•"/>
        <w:lvlJc w:val="left"/>
        <w:pPr>
          <w:tabs>
            <w:tab w:val="left" w:pos="1563"/>
          </w:tabs>
          <w:ind w:left="2623" w:hanging="34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3">
      <w:lvl w:ilvl="3">
        <w:start w:val="1"/>
        <w:numFmt w:val="bullet"/>
        <w:suff w:val="tab"/>
        <w:lvlText w:val="•"/>
        <w:lvlJc w:val="left"/>
        <w:pPr>
          <w:tabs>
            <w:tab w:val="left" w:pos="1563"/>
          </w:tabs>
          <w:ind w:left="3730" w:hanging="34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4">
      <w:lvl w:ilvl="4">
        <w:start w:val="1"/>
        <w:numFmt w:val="bullet"/>
        <w:suff w:val="tab"/>
        <w:lvlText w:val="•"/>
        <w:lvlJc w:val="left"/>
        <w:pPr>
          <w:tabs>
            <w:tab w:val="left" w:pos="1563"/>
          </w:tabs>
          <w:ind w:left="4837" w:hanging="34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5">
      <w:lvl w:ilvl="5">
        <w:start w:val="1"/>
        <w:numFmt w:val="bullet"/>
        <w:suff w:val="tab"/>
        <w:lvlText w:val="•"/>
        <w:lvlJc w:val="left"/>
        <w:pPr>
          <w:tabs>
            <w:tab w:val="left" w:pos="1563"/>
          </w:tabs>
          <w:ind w:left="5943" w:hanging="347"/>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6">
      <w:lvl w:ilvl="6">
        <w:start w:val="1"/>
        <w:numFmt w:val="bullet"/>
        <w:suff w:val="tab"/>
        <w:lvlText w:val="•"/>
        <w:lvlJc w:val="left"/>
        <w:pPr>
          <w:tabs>
            <w:tab w:val="left" w:pos="1563"/>
          </w:tabs>
          <w:ind w:left="7050" w:hanging="34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7">
      <w:lvl w:ilvl="7">
        <w:start w:val="1"/>
        <w:numFmt w:val="bullet"/>
        <w:suff w:val="tab"/>
        <w:lvlText w:val="•"/>
        <w:lvlJc w:val="left"/>
        <w:pPr>
          <w:tabs>
            <w:tab w:val="left" w:pos="1563"/>
          </w:tabs>
          <w:ind w:left="8157" w:hanging="34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8">
      <w:lvl w:ilvl="8">
        <w:start w:val="1"/>
        <w:numFmt w:val="bullet"/>
        <w:suff w:val="tab"/>
        <w:lvlText w:val="•"/>
        <w:lvlJc w:val="left"/>
        <w:pPr>
          <w:tabs>
            <w:tab w:val="left" w:pos="1563"/>
          </w:tabs>
          <w:ind w:left="9263" w:hanging="34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num>
  <w:num w:numId="83">
    <w:abstractNumId w:val="3"/>
    <w:lvlOverride w:ilvl="0">
      <w:lvl w:ilvl="0">
        <w:start w:val="1"/>
        <w:numFmt w:val="bullet"/>
        <w:suff w:val="tab"/>
        <w:lvlText w:val="•"/>
        <w:lvlJc w:val="left"/>
        <w:pPr>
          <w:ind w:left="976" w:hanging="40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1">
      <w:lvl w:ilvl="1">
        <w:start w:val="1"/>
        <w:numFmt w:val="bullet"/>
        <w:suff w:val="tab"/>
        <w:lvlText w:val="•"/>
        <w:lvlJc w:val="left"/>
        <w:pPr>
          <w:tabs>
            <w:tab w:val="left" w:pos="1563"/>
          </w:tabs>
          <w:ind w:left="1563" w:hanging="390"/>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2">
      <w:lvl w:ilvl="2">
        <w:start w:val="1"/>
        <w:numFmt w:val="bullet"/>
        <w:suff w:val="tab"/>
        <w:lvlText w:val="•"/>
        <w:lvlJc w:val="left"/>
        <w:pPr>
          <w:tabs>
            <w:tab w:val="left" w:pos="1560"/>
            <w:tab w:val="left" w:pos="1563"/>
          </w:tabs>
          <w:ind w:left="2669" w:hanging="39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3">
      <w:lvl w:ilvl="3">
        <w:start w:val="1"/>
        <w:numFmt w:val="bullet"/>
        <w:suff w:val="tab"/>
        <w:lvlText w:val="•"/>
        <w:lvlJc w:val="left"/>
        <w:pPr>
          <w:tabs>
            <w:tab w:val="left" w:pos="1560"/>
            <w:tab w:val="left" w:pos="1563"/>
          </w:tabs>
          <w:ind w:left="3776" w:hanging="39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4">
      <w:lvl w:ilvl="4">
        <w:start w:val="1"/>
        <w:numFmt w:val="bullet"/>
        <w:suff w:val="tab"/>
        <w:lvlText w:val="•"/>
        <w:lvlJc w:val="left"/>
        <w:pPr>
          <w:tabs>
            <w:tab w:val="left" w:pos="1560"/>
            <w:tab w:val="left" w:pos="1563"/>
          </w:tabs>
          <w:ind w:left="4883" w:hanging="39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5">
      <w:lvl w:ilvl="5">
        <w:start w:val="1"/>
        <w:numFmt w:val="bullet"/>
        <w:suff w:val="tab"/>
        <w:lvlText w:val="•"/>
        <w:lvlJc w:val="left"/>
        <w:pPr>
          <w:tabs>
            <w:tab w:val="left" w:pos="1560"/>
            <w:tab w:val="left" w:pos="1563"/>
          </w:tabs>
          <w:ind w:left="5989" w:hanging="393"/>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6">
      <w:lvl w:ilvl="6">
        <w:start w:val="1"/>
        <w:numFmt w:val="bullet"/>
        <w:suff w:val="tab"/>
        <w:lvlText w:val="•"/>
        <w:lvlJc w:val="left"/>
        <w:pPr>
          <w:tabs>
            <w:tab w:val="left" w:pos="1560"/>
            <w:tab w:val="left" w:pos="1563"/>
          </w:tabs>
          <w:ind w:left="7096" w:hanging="39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7">
      <w:lvl w:ilvl="7">
        <w:start w:val="1"/>
        <w:numFmt w:val="bullet"/>
        <w:suff w:val="tab"/>
        <w:lvlText w:val="•"/>
        <w:lvlJc w:val="left"/>
        <w:pPr>
          <w:tabs>
            <w:tab w:val="left" w:pos="1560"/>
            <w:tab w:val="left" w:pos="1563"/>
          </w:tabs>
          <w:ind w:left="8203" w:hanging="39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8">
      <w:lvl w:ilvl="8">
        <w:start w:val="1"/>
        <w:numFmt w:val="bullet"/>
        <w:suff w:val="tab"/>
        <w:lvlText w:val="•"/>
        <w:lvlJc w:val="left"/>
        <w:pPr>
          <w:tabs>
            <w:tab w:val="left" w:pos="1560"/>
            <w:tab w:val="left" w:pos="1563"/>
          </w:tabs>
          <w:ind w:left="9309" w:hanging="39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num>
  <w:num w:numId="84">
    <w:abstractNumId w:val="3"/>
    <w:lvlOverride w:ilvl="0">
      <w:lvl w:ilvl="0">
        <w:start w:val="1"/>
        <w:numFmt w:val="bullet"/>
        <w:suff w:val="tab"/>
        <w:lvlText w:val="•"/>
        <w:lvlJc w:val="left"/>
        <w:pPr>
          <w:ind w:left="977" w:hanging="405"/>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1">
      <w:lvl w:ilvl="1">
        <w:start w:val="1"/>
        <w:numFmt w:val="bullet"/>
        <w:suff w:val="tab"/>
        <w:lvlText w:val="•"/>
        <w:lvlJc w:val="left"/>
        <w:pPr>
          <w:tabs>
            <w:tab w:val="left" w:pos="962"/>
          </w:tabs>
          <w:ind w:left="1584" w:hanging="40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2">
      <w:lvl w:ilvl="2">
        <w:start w:val="1"/>
        <w:numFmt w:val="bullet"/>
        <w:suff w:val="tab"/>
        <w:lvlText w:val="•"/>
        <w:lvlJc w:val="left"/>
        <w:pPr>
          <w:tabs>
            <w:tab w:val="left" w:pos="962"/>
          </w:tabs>
          <w:ind w:left="2687" w:hanging="405"/>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3">
      <w:lvl w:ilvl="3">
        <w:start w:val="1"/>
        <w:numFmt w:val="bullet"/>
        <w:suff w:val="tab"/>
        <w:lvlText w:val="•"/>
        <w:lvlJc w:val="left"/>
        <w:pPr>
          <w:tabs>
            <w:tab w:val="left" w:pos="962"/>
          </w:tabs>
          <w:ind w:left="3794" w:hanging="405"/>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4">
      <w:lvl w:ilvl="4">
        <w:start w:val="1"/>
        <w:numFmt w:val="bullet"/>
        <w:suff w:val="tab"/>
        <w:lvlText w:val="•"/>
        <w:lvlJc w:val="left"/>
        <w:pPr>
          <w:tabs>
            <w:tab w:val="left" w:pos="962"/>
          </w:tabs>
          <w:ind w:left="4901" w:hanging="405"/>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5">
      <w:lvl w:ilvl="5">
        <w:start w:val="1"/>
        <w:numFmt w:val="bullet"/>
        <w:suff w:val="tab"/>
        <w:lvlText w:val="•"/>
        <w:lvlJc w:val="left"/>
        <w:pPr>
          <w:tabs>
            <w:tab w:val="left" w:pos="962"/>
          </w:tabs>
          <w:ind w:left="6007" w:hanging="40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6">
      <w:lvl w:ilvl="6">
        <w:start w:val="1"/>
        <w:numFmt w:val="bullet"/>
        <w:suff w:val="tab"/>
        <w:lvlText w:val="•"/>
        <w:lvlJc w:val="left"/>
        <w:pPr>
          <w:tabs>
            <w:tab w:val="left" w:pos="962"/>
          </w:tabs>
          <w:ind w:left="7114" w:hanging="405"/>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7">
      <w:lvl w:ilvl="7">
        <w:start w:val="1"/>
        <w:numFmt w:val="bullet"/>
        <w:suff w:val="tab"/>
        <w:lvlText w:val="•"/>
        <w:lvlJc w:val="left"/>
        <w:pPr>
          <w:tabs>
            <w:tab w:val="left" w:pos="962"/>
          </w:tabs>
          <w:ind w:left="8221" w:hanging="405"/>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8">
      <w:lvl w:ilvl="8">
        <w:start w:val="1"/>
        <w:numFmt w:val="bullet"/>
        <w:suff w:val="tab"/>
        <w:lvlText w:val="•"/>
        <w:lvlJc w:val="left"/>
        <w:pPr>
          <w:tabs>
            <w:tab w:val="left" w:pos="962"/>
          </w:tabs>
          <w:ind w:left="9327" w:hanging="405"/>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num>
  <w:num w:numId="85">
    <w:abstractNumId w:val="3"/>
    <w:lvlOverride w:ilvl="0">
      <w:lvl w:ilvl="0">
        <w:start w:val="1"/>
        <w:numFmt w:val="bullet"/>
        <w:suff w:val="tab"/>
        <w:lvlText w:val="•"/>
        <w:lvlJc w:val="left"/>
        <w:pPr>
          <w:ind w:left="973" w:hanging="40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1">
      <w:lvl w:ilvl="1">
        <w:start w:val="1"/>
        <w:numFmt w:val="bullet"/>
        <w:suff w:val="tab"/>
        <w:lvlText w:val="•"/>
        <w:lvlJc w:val="left"/>
        <w:pPr>
          <w:tabs>
            <w:tab w:val="left" w:pos="958"/>
            <w:tab w:val="left" w:pos="960"/>
          </w:tabs>
          <w:ind w:left="1580" w:hanging="400"/>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2">
      <w:lvl w:ilvl="2">
        <w:start w:val="1"/>
        <w:numFmt w:val="bullet"/>
        <w:suff w:val="tab"/>
        <w:lvlText w:val="•"/>
        <w:lvlJc w:val="left"/>
        <w:pPr>
          <w:tabs>
            <w:tab w:val="left" w:pos="958"/>
            <w:tab w:val="left" w:pos="960"/>
          </w:tabs>
          <w:ind w:left="2683" w:hanging="40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3">
      <w:lvl w:ilvl="3">
        <w:start w:val="1"/>
        <w:numFmt w:val="bullet"/>
        <w:suff w:val="tab"/>
        <w:lvlText w:val="•"/>
        <w:lvlJc w:val="left"/>
        <w:pPr>
          <w:tabs>
            <w:tab w:val="left" w:pos="958"/>
            <w:tab w:val="left" w:pos="960"/>
          </w:tabs>
          <w:ind w:left="3790" w:hanging="40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4">
      <w:lvl w:ilvl="4">
        <w:start w:val="1"/>
        <w:numFmt w:val="bullet"/>
        <w:suff w:val="tab"/>
        <w:lvlText w:val="•"/>
        <w:lvlJc w:val="left"/>
        <w:pPr>
          <w:tabs>
            <w:tab w:val="left" w:pos="958"/>
            <w:tab w:val="left" w:pos="960"/>
          </w:tabs>
          <w:ind w:left="4897" w:hanging="40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5">
      <w:lvl w:ilvl="5">
        <w:start w:val="1"/>
        <w:numFmt w:val="bullet"/>
        <w:suff w:val="tab"/>
        <w:lvlText w:val="•"/>
        <w:lvlJc w:val="left"/>
        <w:pPr>
          <w:tabs>
            <w:tab w:val="left" w:pos="958"/>
            <w:tab w:val="left" w:pos="960"/>
          </w:tabs>
          <w:ind w:left="6003" w:hanging="400"/>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6">
      <w:lvl w:ilvl="6">
        <w:start w:val="1"/>
        <w:numFmt w:val="bullet"/>
        <w:suff w:val="tab"/>
        <w:lvlText w:val="•"/>
        <w:lvlJc w:val="left"/>
        <w:pPr>
          <w:tabs>
            <w:tab w:val="left" w:pos="958"/>
            <w:tab w:val="left" w:pos="960"/>
          </w:tabs>
          <w:ind w:left="7110" w:hanging="40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7">
      <w:lvl w:ilvl="7">
        <w:start w:val="1"/>
        <w:numFmt w:val="bullet"/>
        <w:suff w:val="tab"/>
        <w:lvlText w:val="•"/>
        <w:lvlJc w:val="left"/>
        <w:pPr>
          <w:tabs>
            <w:tab w:val="left" w:pos="958"/>
            <w:tab w:val="left" w:pos="960"/>
          </w:tabs>
          <w:ind w:left="8217" w:hanging="40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8">
      <w:lvl w:ilvl="8">
        <w:start w:val="1"/>
        <w:numFmt w:val="bullet"/>
        <w:suff w:val="tab"/>
        <w:lvlText w:val="•"/>
        <w:lvlJc w:val="left"/>
        <w:pPr>
          <w:tabs>
            <w:tab w:val="left" w:pos="958"/>
            <w:tab w:val="left" w:pos="960"/>
          </w:tabs>
          <w:ind w:left="9323" w:hanging="40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num>
  <w:num w:numId="86">
    <w:abstractNumId w:val="3"/>
    <w:lvlOverride w:ilvl="0">
      <w:lvl w:ilvl="0">
        <w:start w:val="1"/>
        <w:numFmt w:val="bullet"/>
        <w:suff w:val="tab"/>
        <w:lvlText w:val="•"/>
        <w:lvlJc w:val="left"/>
        <w:pPr>
          <w:ind w:left="970" w:hanging="39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1">
      <w:lvl w:ilvl="1">
        <w:start w:val="1"/>
        <w:numFmt w:val="bullet"/>
        <w:suff w:val="tab"/>
        <w:lvlText w:val="•"/>
        <w:lvlJc w:val="left"/>
        <w:pPr>
          <w:ind w:left="1563" w:hanging="390"/>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2">
      <w:lvl w:ilvl="2">
        <w:start w:val="1"/>
        <w:numFmt w:val="bullet"/>
        <w:suff w:val="tab"/>
        <w:lvlText w:val="•"/>
        <w:lvlJc w:val="left"/>
        <w:pPr>
          <w:tabs>
            <w:tab w:val="left" w:pos="1563"/>
          </w:tabs>
          <w:ind w:left="2666"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3">
      <w:lvl w:ilvl="3">
        <w:start w:val="1"/>
        <w:numFmt w:val="bullet"/>
        <w:suff w:val="tab"/>
        <w:lvlText w:val="•"/>
        <w:lvlJc w:val="left"/>
        <w:pPr>
          <w:tabs>
            <w:tab w:val="left" w:pos="1563"/>
          </w:tabs>
          <w:ind w:left="3773"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4">
      <w:lvl w:ilvl="4">
        <w:start w:val="1"/>
        <w:numFmt w:val="bullet"/>
        <w:suff w:val="tab"/>
        <w:lvlText w:val="•"/>
        <w:lvlJc w:val="left"/>
        <w:pPr>
          <w:tabs>
            <w:tab w:val="left" w:pos="1563"/>
          </w:tabs>
          <w:ind w:left="4880"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5">
      <w:lvl w:ilvl="5">
        <w:start w:val="1"/>
        <w:numFmt w:val="bullet"/>
        <w:suff w:val="tab"/>
        <w:lvlText w:val="•"/>
        <w:lvlJc w:val="left"/>
        <w:pPr>
          <w:tabs>
            <w:tab w:val="left" w:pos="1563"/>
          </w:tabs>
          <w:ind w:left="5986" w:hanging="390"/>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6">
      <w:lvl w:ilvl="6">
        <w:start w:val="1"/>
        <w:numFmt w:val="bullet"/>
        <w:suff w:val="tab"/>
        <w:lvlText w:val="•"/>
        <w:lvlJc w:val="left"/>
        <w:pPr>
          <w:tabs>
            <w:tab w:val="left" w:pos="1563"/>
          </w:tabs>
          <w:ind w:left="7093"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7">
      <w:lvl w:ilvl="7">
        <w:start w:val="1"/>
        <w:numFmt w:val="bullet"/>
        <w:suff w:val="tab"/>
        <w:lvlText w:val="•"/>
        <w:lvlJc w:val="left"/>
        <w:pPr>
          <w:tabs>
            <w:tab w:val="left" w:pos="1563"/>
          </w:tabs>
          <w:ind w:left="8200"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8">
      <w:lvl w:ilvl="8">
        <w:start w:val="1"/>
        <w:numFmt w:val="bullet"/>
        <w:suff w:val="tab"/>
        <w:lvlText w:val="•"/>
        <w:lvlJc w:val="left"/>
        <w:pPr>
          <w:tabs>
            <w:tab w:val="left" w:pos="1563"/>
          </w:tabs>
          <w:ind w:left="9306"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num>
  <w:num w:numId="87">
    <w:abstractNumId w:val="3"/>
    <w:lvlOverride w:ilvl="0">
      <w:lvl w:ilvl="0">
        <w:start w:val="1"/>
        <w:numFmt w:val="bullet"/>
        <w:suff w:val="tab"/>
        <w:lvlText w:val="•"/>
        <w:lvlJc w:val="left"/>
        <w:pPr>
          <w:ind w:left="970" w:hanging="39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1">
      <w:lvl w:ilvl="1">
        <w:start w:val="1"/>
        <w:numFmt w:val="bullet"/>
        <w:suff w:val="tab"/>
        <w:lvlText w:val="•"/>
        <w:lvlJc w:val="left"/>
        <w:pPr>
          <w:ind w:left="1564" w:hanging="390"/>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2">
      <w:lvl w:ilvl="2">
        <w:start w:val="1"/>
        <w:numFmt w:val="bullet"/>
        <w:suff w:val="tab"/>
        <w:lvlText w:val="•"/>
        <w:lvlJc w:val="left"/>
        <w:pPr>
          <w:tabs>
            <w:tab w:val="left" w:pos="1564"/>
          </w:tabs>
          <w:ind w:left="2667"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3">
      <w:lvl w:ilvl="3">
        <w:start w:val="1"/>
        <w:numFmt w:val="bullet"/>
        <w:suff w:val="tab"/>
        <w:lvlText w:val="•"/>
        <w:lvlJc w:val="left"/>
        <w:pPr>
          <w:tabs>
            <w:tab w:val="left" w:pos="1564"/>
          </w:tabs>
          <w:ind w:left="3774"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4">
      <w:lvl w:ilvl="4">
        <w:start w:val="1"/>
        <w:numFmt w:val="bullet"/>
        <w:suff w:val="tab"/>
        <w:lvlText w:val="•"/>
        <w:lvlJc w:val="left"/>
        <w:pPr>
          <w:tabs>
            <w:tab w:val="left" w:pos="1564"/>
          </w:tabs>
          <w:ind w:left="4881"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5">
      <w:lvl w:ilvl="5">
        <w:start w:val="1"/>
        <w:numFmt w:val="bullet"/>
        <w:suff w:val="tab"/>
        <w:lvlText w:val="•"/>
        <w:lvlJc w:val="left"/>
        <w:pPr>
          <w:tabs>
            <w:tab w:val="left" w:pos="1564"/>
          </w:tabs>
          <w:ind w:left="5987" w:hanging="390"/>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6">
      <w:lvl w:ilvl="6">
        <w:start w:val="1"/>
        <w:numFmt w:val="bullet"/>
        <w:suff w:val="tab"/>
        <w:lvlText w:val="•"/>
        <w:lvlJc w:val="left"/>
        <w:pPr>
          <w:tabs>
            <w:tab w:val="left" w:pos="1564"/>
          </w:tabs>
          <w:ind w:left="7094"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7">
      <w:lvl w:ilvl="7">
        <w:start w:val="1"/>
        <w:numFmt w:val="bullet"/>
        <w:suff w:val="tab"/>
        <w:lvlText w:val="•"/>
        <w:lvlJc w:val="left"/>
        <w:pPr>
          <w:tabs>
            <w:tab w:val="left" w:pos="1564"/>
          </w:tabs>
          <w:ind w:left="8201"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8">
      <w:lvl w:ilvl="8">
        <w:start w:val="1"/>
        <w:numFmt w:val="bullet"/>
        <w:suff w:val="tab"/>
        <w:lvlText w:val="•"/>
        <w:lvlJc w:val="left"/>
        <w:pPr>
          <w:tabs>
            <w:tab w:val="left" w:pos="1564"/>
          </w:tabs>
          <w:ind w:left="9307"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num>
  <w:num w:numId="88">
    <w:abstractNumId w:val="3"/>
    <w:lvlOverride w:ilvl="0">
      <w:lvl w:ilvl="0">
        <w:start w:val="1"/>
        <w:numFmt w:val="bullet"/>
        <w:suff w:val="tab"/>
        <w:lvlText w:val="•"/>
        <w:lvlJc w:val="left"/>
        <w:pPr>
          <w:ind w:left="970" w:hanging="39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1">
      <w:lvl w:ilvl="1">
        <w:start w:val="1"/>
        <w:numFmt w:val="bullet"/>
        <w:suff w:val="tab"/>
        <w:lvlText w:val="•"/>
        <w:lvlJc w:val="left"/>
        <w:pPr>
          <w:tabs>
            <w:tab w:val="num" w:pos="1557"/>
            <w:tab w:val="left" w:pos="1568"/>
          </w:tabs>
          <w:ind w:left="1568" w:hanging="395"/>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2">
      <w:lvl w:ilvl="2">
        <w:start w:val="1"/>
        <w:numFmt w:val="bullet"/>
        <w:suff w:val="tab"/>
        <w:lvlText w:val="•"/>
        <w:lvlJc w:val="left"/>
        <w:pPr>
          <w:tabs>
            <w:tab w:val="left" w:pos="1557"/>
            <w:tab w:val="left" w:pos="1568"/>
            <w:tab w:val="num" w:pos="2671"/>
          </w:tabs>
          <w:ind w:left="2682" w:hanging="407"/>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3">
      <w:lvl w:ilvl="3">
        <w:start w:val="1"/>
        <w:numFmt w:val="bullet"/>
        <w:suff w:val="tab"/>
        <w:lvlText w:val="•"/>
        <w:lvlJc w:val="left"/>
        <w:pPr>
          <w:tabs>
            <w:tab w:val="left" w:pos="1557"/>
            <w:tab w:val="left" w:pos="1568"/>
            <w:tab w:val="num" w:pos="3778"/>
          </w:tabs>
          <w:ind w:left="3789" w:hanging="407"/>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4">
      <w:lvl w:ilvl="4">
        <w:start w:val="1"/>
        <w:numFmt w:val="bullet"/>
        <w:suff w:val="tab"/>
        <w:lvlText w:val="•"/>
        <w:lvlJc w:val="left"/>
        <w:pPr>
          <w:tabs>
            <w:tab w:val="left" w:pos="1557"/>
            <w:tab w:val="left" w:pos="1568"/>
            <w:tab w:val="num" w:pos="4885"/>
          </w:tabs>
          <w:ind w:left="4896" w:hanging="407"/>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5">
      <w:lvl w:ilvl="5">
        <w:start w:val="1"/>
        <w:numFmt w:val="bullet"/>
        <w:suff w:val="tab"/>
        <w:lvlText w:val="•"/>
        <w:lvlJc w:val="left"/>
        <w:pPr>
          <w:tabs>
            <w:tab w:val="left" w:pos="1557"/>
            <w:tab w:val="left" w:pos="1568"/>
            <w:tab w:val="num" w:pos="5991"/>
          </w:tabs>
          <w:ind w:left="6002" w:hanging="406"/>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6">
      <w:lvl w:ilvl="6">
        <w:start w:val="1"/>
        <w:numFmt w:val="bullet"/>
        <w:suff w:val="tab"/>
        <w:lvlText w:val="•"/>
        <w:lvlJc w:val="left"/>
        <w:pPr>
          <w:tabs>
            <w:tab w:val="left" w:pos="1557"/>
            <w:tab w:val="left" w:pos="1568"/>
            <w:tab w:val="num" w:pos="7098"/>
          </w:tabs>
          <w:ind w:left="7109" w:hanging="407"/>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7">
      <w:lvl w:ilvl="7">
        <w:start w:val="1"/>
        <w:numFmt w:val="bullet"/>
        <w:suff w:val="tab"/>
        <w:lvlText w:val="•"/>
        <w:lvlJc w:val="left"/>
        <w:pPr>
          <w:tabs>
            <w:tab w:val="left" w:pos="1557"/>
            <w:tab w:val="left" w:pos="1568"/>
            <w:tab w:val="num" w:pos="8205"/>
          </w:tabs>
          <w:ind w:left="8216" w:hanging="407"/>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8">
      <w:lvl w:ilvl="8">
        <w:start w:val="1"/>
        <w:numFmt w:val="bullet"/>
        <w:suff w:val="tab"/>
        <w:lvlText w:val="•"/>
        <w:lvlJc w:val="left"/>
        <w:pPr>
          <w:tabs>
            <w:tab w:val="left" w:pos="1557"/>
            <w:tab w:val="left" w:pos="1568"/>
            <w:tab w:val="num" w:pos="9311"/>
          </w:tabs>
          <w:ind w:left="9322" w:hanging="407"/>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0"/>
      <w:shd w:val="clear" w:color="auto" w:fill="auto"/>
      <w:suppressAutoHyphens w:val="0"/>
      <w:bidi w:val="0"/>
      <w:spacing w:before="0" w:after="0" w:line="240" w:lineRule="auto"/>
      <w:ind w:left="354"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4"/>
      <w:szCs w:val="34"/>
      <w:u w:val="none" w:color="000000"/>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6">
    <w:name w:val="heading 6"/>
    <w:next w:val="Body"/>
    <w:pPr>
      <w:keepNext w:val="0"/>
      <w:keepLines w:val="0"/>
      <w:pageBreakBefore w:val="0"/>
      <w:widowControl w:val="0"/>
      <w:shd w:val="clear" w:color="auto" w:fill="auto"/>
      <w:suppressAutoHyphens w:val="0"/>
      <w:bidi w:val="0"/>
      <w:spacing w:before="0" w:after="0" w:line="240" w:lineRule="auto"/>
      <w:ind w:left="363"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7"/>
      <w:szCs w:val="27"/>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5">
    <w:name w:val="heading 5"/>
    <w:next w:val="Body"/>
    <w:pPr>
      <w:keepNext w:val="0"/>
      <w:keepLines w:val="0"/>
      <w:pageBreakBefore w:val="0"/>
      <w:widowControl w:val="0"/>
      <w:shd w:val="clear" w:color="auto" w:fill="auto"/>
      <w:suppressAutoHyphens w:val="0"/>
      <w:bidi w:val="0"/>
      <w:spacing w:before="0" w:after="0" w:line="240" w:lineRule="auto"/>
      <w:ind w:left="363"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heading 4">
    <w:name w:val="heading 4"/>
    <w:next w:val="Body"/>
    <w:pPr>
      <w:keepNext w:val="0"/>
      <w:keepLines w:val="0"/>
      <w:pageBreakBefore w:val="0"/>
      <w:widowControl w:val="0"/>
      <w:shd w:val="clear" w:color="auto" w:fill="auto"/>
      <w:suppressAutoHyphens w:val="0"/>
      <w:bidi w:val="0"/>
      <w:spacing w:before="338" w:after="0"/>
      <w:ind w:left="35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0"/>
      <w:szCs w:val="30"/>
      <w:u w:val="none" w:color="000000"/>
      <w:shd w:val="nil" w:color="auto" w:fill="auto"/>
      <w:vertAlign w:val="baseline"/>
      <w:lang w:val="en-US"/>
      <w14:textFill>
        <w14:solidFill>
          <w14:srgbClr w14:val="000000"/>
        </w14:solidFill>
      </w14:textFill>
    </w:rPr>
  </w:style>
  <w:style w:type="paragraph" w:styleId="Heading">
    <w:name w:val="Heading"/>
    <w:next w:val="Body"/>
    <w:pPr>
      <w:keepNext w:val="0"/>
      <w:keepLines w:val="0"/>
      <w:pageBreakBefore w:val="0"/>
      <w:widowControl w:val="0"/>
      <w:shd w:val="clear" w:color="auto" w:fill="auto"/>
      <w:suppressAutoHyphens w:val="0"/>
      <w:bidi w:val="0"/>
      <w:spacing w:before="74" w:after="0" w:line="240" w:lineRule="auto"/>
      <w:ind w:left="362"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5"/>
      <w:szCs w:val="35"/>
      <w:u w:val="none" w:color="000000"/>
      <w:shd w:val="nil" w:color="auto" w:fill="auto"/>
      <w:vertAlign w:val="baseline"/>
      <w:lang w:val="de-DE"/>
      <w14:textOutline>
        <w14:noFill/>
      </w14:textOutline>
      <w14:textFill>
        <w14:solidFill>
          <w14:srgbClr w14:val="000000"/>
        </w14:solidFill>
      </w14:textFill>
    </w:rPr>
  </w:style>
  <w:style w:type="paragraph" w:styleId="Heading 3">
    <w:name w:val="Heading 3"/>
    <w:next w:val="Body"/>
    <w:pPr>
      <w:keepNext w:val="0"/>
      <w:keepLines w:val="0"/>
      <w:pageBreakBefore w:val="0"/>
      <w:widowControl w:val="0"/>
      <w:shd w:val="clear" w:color="auto" w:fill="auto"/>
      <w:suppressAutoHyphens w:val="0"/>
      <w:bidi w:val="0"/>
      <w:spacing w:before="327" w:after="0" w:line="240" w:lineRule="auto"/>
      <w:ind w:left="359"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1"/>
      <w:szCs w:val="31"/>
      <w:u w:val="none" w:color="000000"/>
      <w:shd w:val="nil" w:color="auto" w:fill="auto"/>
      <w:vertAlign w:val="baseline"/>
      <w:lang w:val="en-US"/>
      <w14:textOutline>
        <w14:noFill/>
      </w14:textOutline>
      <w14:textFill>
        <w14:solidFill>
          <w14:srgbClr w14:val="000000"/>
        </w14:solidFill>
      </w14:textFill>
    </w:rPr>
  </w:style>
  <w:style w:type="numbering" w:styleId="Imported Style 3">
    <w:name w:val="Imported Style 3"/>
    <w:pPr>
      <w:numPr>
        <w:numId w:val="79"/>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