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b w:val="1"/>
          <w:color w:val="006d6f"/>
          <w:sz w:val="32"/>
          <w:szCs w:val="32"/>
          <w:u w:val="single"/>
          <w:rtl w:val="0"/>
        </w:rPr>
        <w:t xml:space="preserve">Practical Answers 5 – Open Root Finding Methods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 the function is a good idea to get an idea of where the roots are and provide initial guesses, then the methods can be used to get an accurate estimation. </w:t>
        <w:br w:type="textWrapping"/>
        <w:t xml:space="preserve">You can also substitute your answers back into the equation to see if it is correct (anonymous functions can help with that).</w:t>
        <w:br w:type="textWrapping"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 the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roots</w:t>
      </w:r>
      <w:r w:rsidDel="00000000" w:rsidR="00000000" w:rsidRPr="00000000">
        <w:rPr>
          <w:sz w:val="28"/>
          <w:szCs w:val="28"/>
          <w:rtl w:val="0"/>
        </w:rPr>
        <w:t xml:space="preserve"> function to find the roots of the polynomial.</w:t>
        <w:br w:type="textWrapping"/>
        <w:br w:type="textWrapping"/>
        <w:t xml:space="preserve">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0832" cy="369116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832" cy="36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beforeAutospacing="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Create an anonymous function for p(x) and substitute the roots you found in question 1 into it to verify your answer.</w:t>
      </w:r>
    </w:p>
    <w:tbl>
      <w:tblPr>
        <w:tblStyle w:val="Table1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3378200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roots</w:t>
      </w:r>
      <w:r w:rsidDel="00000000" w:rsidR="00000000" w:rsidRPr="00000000">
        <w:rPr>
          <w:sz w:val="28"/>
          <w:szCs w:val="28"/>
          <w:rtl w:val="0"/>
        </w:rPr>
        <w:t xml:space="preserve"> function to find the roots of the polynomial (no template). Display only the real roots.</w:t>
        <w:br w:type="textWrapping"/>
        <w:br w:type="textWrapping"/>
        <w:t xml:space="preserve">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6657" cy="380774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657" cy="38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81650" cy="2828925"/>
                  <wp:effectExtent b="0" l="0" r="0" t="0"/>
                  <wp:docPr id="1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fzero</w:t>
      </w:r>
      <w:r w:rsidDel="00000000" w:rsidR="00000000" w:rsidRPr="00000000">
        <w:rPr>
          <w:sz w:val="28"/>
          <w:szCs w:val="28"/>
          <w:rtl w:val="0"/>
        </w:rPr>
        <w:t xml:space="preserve"> function to locate all roots of  </w:t>
        <w:br w:type="textWrapping"/>
        <w:br w:type="textWrapping"/>
        <w:t xml:space="preserve">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1282" cy="391638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82" cy="39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on the interval [0,5]. Plot the function with a grid and mark the roots with large green diamonds. For this question make a function file to hold the function. You will have to divide the interval into pieces using an appropriate step size, h. First try </w:t>
        <w:br w:type="textWrapping"/>
        <w:t xml:space="preserve">h = 2, then plot the function and roots to see if it found them all. If not, adjust your value of h and try again.</w:t>
      </w:r>
    </w:p>
    <w:tbl>
      <w:tblPr>
        <w:tblStyle w:val="Table3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 h = 2: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34417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 h = 1: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346710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script that solves  </w:t>
        <w:br w:type="textWrapping"/>
        <w:br w:type="textWrapping"/>
        <w:t xml:space="preserve">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66013" cy="38955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013" cy="38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using </w:t>
      </w:r>
      <w:r w:rsidDel="00000000" w:rsidR="00000000" w:rsidRPr="00000000">
        <w:rPr>
          <w:color w:val="ce181e"/>
          <w:sz w:val="28"/>
          <w:szCs w:val="28"/>
          <w:rtl w:val="0"/>
        </w:rPr>
        <w:t xml:space="preserve">Fixed Point Iteration</w:t>
      </w:r>
      <w:r w:rsidDel="00000000" w:rsidR="00000000" w:rsidRPr="00000000">
        <w:rPr>
          <w:sz w:val="28"/>
          <w:szCs w:val="28"/>
          <w:rtl w:val="0"/>
        </w:rPr>
        <w:t xml:space="preserve">. Choose your own stopping criteria and keep track of the error at each iteration. Keep in mind that you can choose any of the following 4 formulas for your fixed point iteration:</w:t>
        <w:br w:type="textWrapping"/>
        <w:br w:type="textWrapping"/>
        <w:t xml:space="preserve">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46057" cy="177400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057" cy="1774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Test all of them to see which work and which don’t.</w:t>
      </w:r>
    </w:p>
    <w:tbl>
      <w:tblPr>
        <w:tblStyle w:val="Table4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used x = 1 as my initial guess with a tolerance of 0.0001.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 1:</w:t>
              <w:br w:type="textWrapping"/>
            </w: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867275" cy="11906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 2: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14859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 3: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038600" cy="116205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 4: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18669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an initial guess as input then locates a root of  </w:t>
        <w:br w:type="textWrapping"/>
        <w:br w:type="textWrapping"/>
        <w:t xml:space="preserve">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50807" cy="37393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807" cy="37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using the </w:t>
      </w:r>
      <w:r w:rsidDel="00000000" w:rsidR="00000000" w:rsidRPr="00000000">
        <w:rPr>
          <w:sz w:val="28"/>
          <w:szCs w:val="28"/>
          <w:rtl w:val="0"/>
        </w:rPr>
        <w:t xml:space="preserve">Newton-Raphson Method</w:t>
      </w:r>
      <w:r w:rsidDel="00000000" w:rsidR="00000000" w:rsidRPr="00000000">
        <w:rPr>
          <w:sz w:val="28"/>
          <w:szCs w:val="28"/>
          <w:rtl w:val="0"/>
        </w:rPr>
        <w:t xml:space="preserve">. Remember you will have to differentiate the function to get the formula. Choose your own convergence criterion.</w:t>
      </w:r>
    </w:p>
    <w:tbl>
      <w:tblPr>
        <w:tblStyle w:val="Table5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x0 = 1: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295775" cy="235267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x0 = 5: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353050" cy="234315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20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your function from question 7 to find all roots of r(x) on the interval [–π,π].</w:t>
      </w:r>
    </w:p>
    <w:tbl>
      <w:tblPr>
        <w:tblStyle w:val="Table6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I used 100 values between –π and π I got:</w:t>
              <w:br w:type="textWrapping"/>
            </w: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3416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script that locates all roots of  </w:t>
        <w:br w:type="textWrapping"/>
        <w:br w:type="textWrapping"/>
        <w:t xml:space="preserve">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9735" cy="39147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735" cy="39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using the Bisection Method. Locate brackets by using the incremental search method you wrote before.</w:t>
      </w:r>
    </w:p>
    <w:tbl>
      <w:tblPr>
        <w:tblStyle w:val="Table7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 below I checked whether an exact root was found by the incremental search method first instead of wasting computation time on the Bisection method where unneeded.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27432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before="240" w:line="240" w:lineRule="auto"/>
        <w:ind w:left="72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volume of liquid V in a hollow horizontal cylinder of radius r and length L is related to the depth of the liquid h by,</w:t>
        <w:br w:type="textWrapping"/>
        <w:br w:type="textWrapping"/>
        <w:t xml:space="preserve">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9583" cy="459357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583" cy="45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Determine </w:t>
      </w:r>
      <w:r w:rsidDel="00000000" w:rsidR="00000000" w:rsidRPr="00000000">
        <w:rPr>
          <w:i w:val="1"/>
          <w:color w:val="006d6f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 given </w:t>
      </w:r>
      <w:r w:rsidDel="00000000" w:rsidR="00000000" w:rsidRPr="00000000">
        <w:rPr>
          <w:i w:val="1"/>
          <w:color w:val="006d6f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 = 2m, </w:t>
      </w:r>
      <w:r w:rsidDel="00000000" w:rsidR="00000000" w:rsidRPr="00000000">
        <w:rPr>
          <w:i w:val="1"/>
          <w:color w:val="006d6f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= 5m, and </w:t>
      </w:r>
      <w:r w:rsidDel="00000000" w:rsidR="00000000" w:rsidRPr="00000000">
        <w:rPr>
          <w:i w:val="1"/>
          <w:color w:val="006d6f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= 8m.</w:t>
      </w:r>
    </w:p>
    <w:tbl>
      <w:tblPr>
        <w:tblStyle w:val="Table8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714625" cy="98107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00" w:before="240" w:line="240" w:lineRule="auto"/>
        <w:ind w:left="72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Determine the location of the horizontal tangents (turning points) of</w:t>
        <w:br w:type="textWrapping"/>
        <w:br w:type="textWrapping"/>
        <w:t xml:space="preserve">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27107" cy="383381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107" cy="38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on the interval [–π,π]. Plot the figure and mark the turning points with thick, large red circles with blue faces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2534" cy="27253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34" cy="27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9"/>
        <w:tblW w:w="1032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2"/>
        <w:tblGridChange w:id="0">
          <w:tblGrid>
            <w:gridCol w:w="103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6419850" cy="3454400"/>
                  <wp:effectExtent b="0" l="0" r="0" t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after="20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576" w:left="288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4.png"/><Relationship Id="rId25" Type="http://schemas.openxmlformats.org/officeDocument/2006/relationships/image" Target="media/image18.png"/><Relationship Id="rId28" Type="http://schemas.openxmlformats.org/officeDocument/2006/relationships/image" Target="media/image1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9.png"/><Relationship Id="rId7" Type="http://schemas.openxmlformats.org/officeDocument/2006/relationships/image" Target="media/image14.png"/><Relationship Id="rId8" Type="http://schemas.openxmlformats.org/officeDocument/2006/relationships/image" Target="media/image21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22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23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