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2.png" ContentType="image/png"/>
  <Override PartName="/word/media/rId36.png" ContentType="image/png"/>
  <Override PartName="/word/media/rId41.png" ContentType="image/png"/>
  <Override PartName="/word/media/rId45.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 interoperability in context: the importance of open-source implementations when choosing open standards</w:t>
      </w:r>
    </w:p>
    <w:p>
      <w:pPr>
        <w:pStyle w:val="Author"/>
      </w:pPr>
      <w:r>
        <w:t xml:space="preserve">Daniel Kapitan</w:t>
      </w:r>
    </w:p>
    <w:p>
      <w:pPr>
        <w:pStyle w:val="Author"/>
      </w:pPr>
      <w:r>
        <w:t xml:space="preserve">Femke Heddema</w:t>
      </w:r>
    </w:p>
    <w:p>
      <w:pPr>
        <w:pStyle w:val="Author"/>
      </w:pPr>
      <w:r>
        <w:t xml:space="preserve">Andre Dekker</w:t>
      </w:r>
    </w:p>
    <w:p>
      <w:pPr>
        <w:pStyle w:val="Author"/>
      </w:pPr>
      <w:r>
        <w:t xml:space="preserve">Melle Sieswerda</w:t>
      </w:r>
    </w:p>
    <w:p>
      <w:pPr>
        <w:pStyle w:val="Author"/>
      </w:pPr>
      <w:r>
        <w:t xml:space="preserve">Bart-Jan Verhoeff</w:t>
      </w:r>
    </w:p>
    <w:p>
      <w:pPr>
        <w:pStyle w:val="Author"/>
      </w:pPr>
      <w:r>
        <w:t xml:space="preserve">Matt Berg</w:t>
      </w:r>
    </w:p>
    <w:p>
      <w:pPr>
        <w:pStyle w:val="AbstractTitle"/>
      </w:pPr>
      <w:r>
        <w:t xml:space="preserve">Abstract</w:t>
      </w:r>
    </w:p>
    <w:p>
      <w:pPr>
        <w:pStyle w:val="Abstract"/>
      </w:pPr>
      <w:r>
        <w:t xml:space="preserve">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“A paradox of health care interoperability is the existence of a large number of standards with significant overlap among them,”</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clinical administration as well, besides its original purpose as a health data exchange standard. We conclude this viewpoint with practical implications of these findings and directions for future research of open health data standards.</w:t>
      </w:r>
    </w:p>
    <w:bookmarkEnd w:id="20"/>
    <w:bookmarkStart w:id="29"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
                <w:bCs/>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
                <w:bCs/>
              </w:rPr>
              <w:t xml:space="preserve">Data systems</w:t>
            </w:r>
            <w:r>
              <w:t xml:space="preserve"> </w:t>
            </w:r>
            <w:r>
              <w:t xml:space="preserve">describe a set of technologies, tools and processes that extract, manage and deliver data. Where the</w:t>
            </w:r>
            <w:r>
              <w:t xml:space="preserve"> </w:t>
            </w:r>
            <w:r>
              <w:rPr>
                <w:b/>
                <w:bCs/>
              </w:rPr>
              <w:t xml:space="preserve">data system</w:t>
            </w:r>
            <w:r>
              <w:t xml:space="preserve"> </w:t>
            </w:r>
            <w:r>
              <w:t xml:space="preserve">describes the functional implementation, the</w:t>
            </w:r>
            <w:r>
              <w:t xml:space="preserve"> </w:t>
            </w:r>
            <w:r>
              <w:rPr>
                <w:b/>
                <w:bCs/>
              </w:rPr>
              <w:t xml:space="preserve">data architecture</w:t>
            </w:r>
            <w:r>
              <w:t xml:space="preserve"> </w:t>
            </w:r>
            <w:r>
              <w:t xml:space="preserve">specifies the design framework, outlining how the data flows in its collection, storage, processing and governance. Its key components are</w:t>
            </w:r>
            <w:r>
              <w:t xml:space="preserve"> </w:t>
            </w:r>
            <w:r>
              <w:rPr>
                <w:b/>
                <w:bCs/>
              </w:rPr>
              <w:t xml:space="preserve">data sources</w:t>
            </w:r>
            <w:r>
              <w:t xml:space="preserve"> </w:t>
            </w:r>
            <w:r>
              <w:t xml:space="preserve">(original</w:t>
            </w:r>
            <w:r>
              <w:t xml:space="preserve"> </w:t>
            </w:r>
            <w:r>
              <w:t xml:space="preserve">‘raw’</w:t>
            </w:r>
            <w:r>
              <w:t xml:space="preserve"> </w:t>
            </w:r>
            <w:r>
              <w:t xml:space="preserve">data that is collected before any processing), data repositories like</w:t>
            </w:r>
            <w:r>
              <w:t xml:space="preserve"> </w:t>
            </w:r>
            <w:r>
              <w:rPr>
                <w:b/>
                <w:bCs/>
              </w:rPr>
              <w:t xml:space="preserve">databases</w:t>
            </w:r>
            <w:r>
              <w:t xml:space="preserve">,</w:t>
            </w:r>
            <w:r>
              <w:t xml:space="preserve"> </w:t>
            </w:r>
            <w:r>
              <w:rPr>
                <w:b/>
                <w:bCs/>
              </w:rPr>
              <w:t xml:space="preserve">data warehouses</w:t>
            </w:r>
            <w:r>
              <w:t xml:space="preserve"> </w:t>
            </w:r>
            <w:r>
              <w:t xml:space="preserve">or</w:t>
            </w:r>
            <w:r>
              <w:t xml:space="preserve"> </w:t>
            </w:r>
            <w:r>
              <w:rPr>
                <w:b/>
                <w:bCs/>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
                <w:bCs/>
              </w:rPr>
              <w:t xml:space="preserve">core technical platform</w:t>
            </w:r>
            <w:r>
              <w:t xml:space="preserve"> </w:t>
            </w:r>
            <w:r>
              <w:t xml:space="preserve">(the foundational infrastructure) that can be extended to facilitate the necessary digital services.</w:t>
            </w:r>
            <w:r>
              <w:t xml:space="preserve"> </w:t>
            </w:r>
            <w:r>
              <w:rPr>
                <w:b/>
                <w:bCs/>
              </w:rPr>
              <w:t xml:space="preserve">Data architectures</w:t>
            </w:r>
            <w:r>
              <w:t xml:space="preserve"> </w:t>
            </w:r>
            <w:r>
              <w:t xml:space="preserve">contain different levels of specifications for the technical components entailed in the system. These levels include a systems’</w:t>
            </w:r>
            <w:r>
              <w:t xml:space="preserve"> </w:t>
            </w:r>
            <w:r>
              <w:rPr>
                <w:b/>
                <w:bCs/>
              </w:rPr>
              <w:t xml:space="preserve">code base</w:t>
            </w:r>
            <w:r>
              <w:t xml:space="preserve"> </w:t>
            </w:r>
            <w:r>
              <w:t xml:space="preserve">(machine-readable text describing how to extract and process certain data),</w:t>
            </w:r>
            <w:r>
              <w:t xml:space="preserve"> </w:t>
            </w:r>
            <w:r>
              <w:rPr>
                <w:b/>
                <w:bCs/>
              </w:rPr>
              <w:t xml:space="preserve">software tools</w:t>
            </w:r>
            <w:r>
              <w:t xml:space="preserve"> </w:t>
            </w:r>
            <w:r>
              <w:t xml:space="preserve">(programs and applications enabling digital operations) and</w:t>
            </w:r>
            <w:r>
              <w:t xml:space="preserve"> </w:t>
            </w:r>
            <w:r>
              <w:rPr>
                <w:b/>
                <w:bCs/>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‘the paradox of open’</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“This is the story of Wikipedia, OpenStreetMap, Blender.org, and the countless free software projects that provide much of the internet’s infrastructure.”</w:t>
      </w:r>
      <w:r>
        <w:t xml:space="preserve"> </w:t>
      </w:r>
      <w:r>
        <w:t xml:space="preserve">[3]</w:t>
      </w:r>
      <w:r>
        <w:t xml:space="preserve"> </w:t>
      </w:r>
      <w:r>
        <w:t xml:space="preserve">Indeed, Tsafnat et al. have explicitly taken into account that</w:t>
      </w:r>
      <w:r>
        <w:t xml:space="preserve"> </w:t>
      </w:r>
      <w:r>
        <w:t xml:space="preserve">“an engaged and vibrant community is a major advantage for the longevity of the data standards it uses,”</w:t>
      </w:r>
      <w:r>
        <w:t xml:space="preserve"> </w:t>
      </w:r>
      <w:r>
        <w:t xml:space="preserve">which has informed their proposal to converge towards OMOP, FHIR and openEHR over other existing health data standards. However, the importance of open-source software is somewhat overlooked. This point is only mentioned in passing when Tsafnat et al. reference work done by Reynolds and Wyatt who already argued in 2011</w:t>
      </w:r>
      <w:r>
        <w:t xml:space="preserve"> </w:t>
      </w:r>
      <w:r>
        <w:t xml:space="preserve">“… for the superiority of open-source licensing to promote safer, more effective healthcare information systems. We claim that open-source licensing in health care information systems is essential to rational procurement strategy”</w:t>
      </w:r>
      <w:r>
        <w:t xml:space="preserve"> </w:t>
      </w:r>
      <w:r>
        <w:t xml:space="preserve">[7]</w:t>
      </w:r>
      <w:r>
        <w:t xml:space="preserve">. Hence, we extend the line of reasoning of Tsafnat et al. by emphasizing that the availability of executable open-source pieces of software,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“opening up”</w:t>
      </w:r>
      <w:r>
        <w:t xml:space="preserve"> </w:t>
      </w:r>
      <w:r>
        <w:t xml:space="preserve">is the result of external incentives or requirements, rather than voluntary actions. Examples of such external incentives are</w:t>
      </w:r>
      <w:r>
        <w:t xml:space="preserve"> </w:t>
      </w:r>
      <w:r>
        <w:t xml:space="preserve">“… publicly-funded knowledge production like Open Access academic publications, cultural heritage collections in the Public Domain, Open Educational Resources, and Open Government data.”</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 or at least strongly recommended - in some jurisdictions. Survey results on the state of FHIR show that the FHIR standard has been mandated or advised in 20 countries</w:t>
      </w:r>
      <w:r>
        <w:t xml:space="preserve"> </w:t>
      </w:r>
      <w:r>
        <w:t xml:space="preserve">[9]</w:t>
      </w:r>
      <w:r>
        <w:t xml:space="preserve">. The European Electronic Health Record Exchange Format (EHRxF), introduced by the European Commission in 2019 with the aim to ensure secure, interoperable, cross-border access to electronic health data across the EU, decided in 2022 to adopt HL7 FHIR as the exchange format for future priority data categories</w:t>
      </w:r>
      <w:r>
        <w:t xml:space="preserve"> </w:t>
      </w:r>
      <w:r>
        <w:t xml:space="preserve">[10]</w:t>
      </w:r>
      <w:r>
        <w:t xml:space="preserve">.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[11]</w:t>
      </w:r>
      <w:r>
        <w:t xml:space="preserve">. In India, the open Health Claims Exchange protocol specification - which is based on FHIR - has been mandated by the Indian government as the standard for e-claims handling</w:t>
      </w:r>
      <w:r>
        <w:t xml:space="preserve"> </w:t>
      </w:r>
      <w:r>
        <w:t xml:space="preserve">[12,13]</w:t>
      </w:r>
      <w:r>
        <w:t xml:space="preserve">. The African Union recommends all new implementations and digital health system improvements use FHIR as the primary mechanism for data exchange</w:t>
      </w:r>
      <w:r>
        <w:t xml:space="preserve"> </w:t>
      </w:r>
      <w:r>
        <w:t xml:space="preserve">[14]</w:t>
      </w:r>
      <w:r>
        <w:t xml:space="preserve">, but doesn’t say anything about the use of, for example, openEHR for administrative point-of-service systems.</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[15]</w:t>
      </w:r>
      <w:r>
        <w:t xml:space="preserve">. The hourglass model is</w:t>
      </w:r>
      <w:r>
        <w:t xml:space="preserve"> </w:t>
      </w:r>
      <w:r>
        <w:t xml:space="preserve">“… an approach to design that seeks to support a great diversity of applications (at the top of the hourglass) and allow implementation using a great diversity of supporting services (at the bottom).”</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[16,17]</w:t>
      </w:r>
      <w:r>
        <w:t xml:space="preserve">, and the SQL-on-FHIR specification to make large-scale analysis of FHIR data accessible to a larger audience and portable between systems</w:t>
      </w:r>
      <w:r>
        <w:t xml:space="preserve"> </w:t>
      </w:r>
      <w:r>
        <w:t xml:space="preserve">[18]</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
                <w:bCs/>
              </w:rPr>
              <w:t xml:space="preserve">Data pipelines</w:t>
            </w:r>
            <w:r>
              <w:t xml:space="preserve"> </w:t>
            </w:r>
            <w:r>
              <w:t xml:space="preserve">define a sequence or workflow of processes for data.</w:t>
            </w:r>
            <w:r>
              <w:t xml:space="preserve"> </w:t>
            </w:r>
            <w:r>
              <w:rPr>
                <w:b/>
                <w:bCs/>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
                <w:bCs/>
              </w:rPr>
              <w:t xml:space="preserve">Computing workloads</w:t>
            </w:r>
            <w:r>
              <w:t xml:space="preserve"> </w:t>
            </w:r>
            <w:r>
              <w:t xml:space="preserve">are specific tasks executed across data systems, like data processing and analytics.</w:t>
            </w:r>
          </w:p>
          <w:p>
            <w:pPr>
              <w:pStyle w:val="BodyText"/>
            </w:pPr>
            <w:pPr>
              <w:spacing w:after="16"/>
            </w:pPr>
            <w:r>
              <w:rPr>
                <w:b/>
                <w:bCs/>
              </w:rPr>
              <w:t xml:space="preserve">Data transformation</w:t>
            </w:r>
            <w:r>
              <w:t xml:space="preserve"> </w:t>
            </w:r>
            <w:r>
              <w:t xml:space="preserve">entails all the processing pipelines that convert data into usable insights.</w:t>
            </w:r>
            <w:r>
              <w:t xml:space="preserve"> </w:t>
            </w:r>
            <w:r>
              <w:rPr>
                <w:b/>
                <w:bCs/>
              </w:rPr>
              <w:t xml:space="preserve">Mappings</w:t>
            </w:r>
            <w:r>
              <w:t xml:space="preserve"> </w:t>
            </w:r>
            <w:r>
              <w:t xml:space="preserve">are specific data transformations that aim to align data from different sources with a unified structure.</w:t>
            </w:r>
            <w:r>
              <w:t xml:space="preserve"> </w:t>
            </w:r>
            <w:r>
              <w:rPr>
                <w:b/>
                <w:bCs/>
              </w:rPr>
              <w:t xml:space="preserve">Granular mappings</w:t>
            </w:r>
            <w:r>
              <w:t xml:space="preserve"> </w:t>
            </w:r>
            <w:r>
              <w:t xml:space="preserve">transform data at the most detailed level, translating data elements across different schemas.</w:t>
            </w:r>
            <w:r>
              <w:t xml:space="preserve"> </w:t>
            </w:r>
            <w:r>
              <w:rPr>
                <w:b/>
                <w:bCs/>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The external incentives have also led to more people voluntarily contributing to FHIR-related open-source projects, which has resulted in a wide offering of FHIR components across major technology stacks (Java, Python, .NET), thereby strengthening the first condition for establishing openness. By comparison, OMOP and openEHR have profited less from external incentives to spur the adoption and thereby growing the ecosystem beyond a certain critical mass. To illustrate this, a quick-scan of the available open-source components listed on the website of the three governing bodies HL7</w:t>
      </w:r>
      <w:r>
        <w:t xml:space="preserve"> </w:t>
      </w:r>
      <w:r>
        <w:t xml:space="preserve">[19]</w:t>
      </w:r>
      <w:r>
        <w:t xml:space="preserve">, OHDSI</w:t>
      </w:r>
      <w:r>
        <w:t xml:space="preserve"> </w:t>
      </w:r>
      <w:r>
        <w:t xml:space="preserve">[20]</w:t>
      </w:r>
      <w:r>
        <w:t xml:space="preserve"> </w:t>
      </w:r>
      <w:r>
        <w:t xml:space="preserve">and openEHR</w:t>
      </w:r>
      <w:r>
        <w:t xml:space="preserve"> </w:t>
      </w:r>
      <w:r>
        <w:t xml:space="preserve">[21]</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[22]</w:t>
      </w:r>
      <w:r>
        <w:t xml:space="preserve">. Taking GitHub as an proxy of worldwide development activities,</w:t>
      </w:r>
      <w:r>
        <w:t xml:space="preserve"> </w:t>
      </w:r>
      <w:hyperlink w:anchor="tbl-github">
        <w:r>
          <w:rPr>
            <w:rStyle w:val="Hyperlink"/>
          </w:rPr>
          <w:t xml:space="preserve">Table 1</w:t>
        </w:r>
      </w:hyperlink>
      <w:r>
        <w:t xml:space="preserve"> </w:t>
      </w:r>
      <w:r>
        <w:t xml:space="preserve">shows the number of contributors and repositories for three different search terms. Note that these numbers should be taken as rough indicators. Given that the FHIR standard has broader application areas, one would expect more GitHub projects than for, say, openEHR.</w:t>
      </w:r>
    </w:p>
    <w:bookmarkStart w:id="28" w:name="tbl-github"/>
    <w:tbl>
      <w:tblPr>
        <w:tblStyle w:val="Table"/>
        <w:tblW w:type="pct" w:w="4900"/>
        <w:tblLayout w:type="fixed"/>
        <w:tblLook w:firstRow="0" w:lastRow="0" w:firstColumn="0" w:lastColumn="0" w:noHBand="0" w:noVBand="0" w:val="0000"/>
      </w:tblPr>
      <w:tblGrid>
        <w:gridCol w:w="3880"/>
        <w:gridCol w:w="3880"/>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6" w:name="tbl-last-three-months"/>
                <w:p>
                  <w:pPr>
                    <w:jc w:val="center"/>
                  </w:pPr>
                  <w:pPr>
                    <w:jc w:val="start"/>
                    <w:spacing w:before="200"/>
                    <w:pStyle w:val="ImageCaption"/>
                  </w:pPr>
                  <w:r>
                    <w:t xml:space="preserve">(a) Last three months</w:t>
                  </w:r>
                </w:p>
                <w:tbl>
                  <w:tblPr>
                    <w:tblStyle w:val="Table"/>
                    <w:tblW w:type="pct" w:w="4900"/>
                    <w:tblLayout w:type="fixed"/>
                    <w:tblLook w:firstRow="1" w:lastRow="0" w:firstColumn="0" w:lastColumn="0" w:noHBand="0" w:noVBand="0" w:val="0020"/>
                  </w:tblPr>
                  <w:tblGrid>
                    <w:gridCol w:w="2587"/>
                    <w:gridCol w:w="2587"/>
                    <w:gridCol w:w="2587"/>
                  </w:tblGrid>
                  <w:tr>
                    <w:trPr>
                      <w:tblHeader w:val="on"/>
                    </w:trPr>
                    <w:tc>
                      <w:tcPr/>
                      <w:p>
                        <w:pPr>
                          <w:pStyle w:val="Compact"/>
                          <w:jc w:val="left"/>
                          <w:jc w:val="center"/>
                        </w:pPr>
                        <w:r>
                          <w:t xml:space="preserve">search term</w:t>
                        </w:r>
                      </w:p>
                    </w:tc>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left"/>
                          <w:jc w:val="center"/>
                        </w:pPr>
                        <w:r>
                          <w:t xml:space="preserve">“openEHR”</w:t>
                        </w:r>
                      </w:p>
                    </w:tc>
                    <w:tc>
                      <w:tcPr/>
                      <w:p>
                        <w:pPr>
                          <w:pStyle w:val="Compact"/>
                          <w:jc w:val="center"/>
                          <w:jc w:val="center"/>
                        </w:pPr>
                        <w:r>
                          <w:t xml:space="preserve">82</w:t>
                        </w:r>
                      </w:p>
                    </w:tc>
                    <w:tc>
                      <w:tcPr/>
                      <w:p>
                        <w:pPr>
                          <w:pStyle w:val="Compact"/>
                          <w:jc w:val="center"/>
                          <w:jc w:val="center"/>
                        </w:pPr>
                        <w:r>
                          <w:t xml:space="preserve">49</w:t>
                        </w:r>
                      </w:p>
                    </w:tc>
                  </w:tr>
                  <w:tr>
                    <w:tc>
                      <w:tcPr/>
                      <w:p>
                        <w:pPr>
                          <w:pStyle w:val="Compact"/>
                          <w:jc w:val="left"/>
                          <w:jc w:val="center"/>
                        </w:pPr>
                        <w:r>
                          <w:t xml:space="preserve">“OMOP”</w:t>
                        </w:r>
                        <w:r>
                          <w:t xml:space="preserve"> </w:t>
                        </w:r>
                        <w:r>
                          <w:t xml:space="preserve">or</w:t>
                        </w:r>
                        <w:r>
                          <w:t xml:space="preserve"> </w:t>
                        </w:r>
                        <w:r>
                          <w:t xml:space="preserve">“OHDSI”</w:t>
                        </w:r>
                      </w:p>
                    </w:tc>
                    <w:tc>
                      <w:tcPr/>
                      <w:p>
                        <w:pPr>
                          <w:pStyle w:val="Compact"/>
                          <w:jc w:val="center"/>
                          <w:jc w:val="center"/>
                        </w:pPr>
                        <w:r>
                          <w:t xml:space="preserve">446</w:t>
                        </w:r>
                      </w:p>
                    </w:tc>
                    <w:tc>
                      <w:tcPr/>
                      <w:p>
                        <w:pPr>
                          <w:pStyle w:val="Compact"/>
                          <w:jc w:val="center"/>
                          <w:jc w:val="center"/>
                        </w:pPr>
                        <w:r>
                          <w:t xml:space="preserve">221</w:t>
                        </w:r>
                      </w:p>
                    </w:tc>
                  </w:tr>
                  <w:tr>
                    <w:tc>
                      <w:tcPr/>
                      <w:p>
                        <w:pPr>
                          <w:pStyle w:val="Compact"/>
                          <w:jc w:val="left"/>
                          <w:jc w:val="center"/>
                        </w:pPr>
                        <w:r>
                          <w:t xml:space="preserve">“FHIR</w:t>
                        </w:r>
                      </w:p>
                    </w:tc>
                    <w:tc>
                      <w:tcPr/>
                      <w:p>
                        <w:pPr>
                          <w:pStyle w:val="Compact"/>
                          <w:jc w:val="center"/>
                          <w:jc w:val="center"/>
                        </w:pPr>
                        <w:r>
                          <w:t xml:space="preserve">1,648</w:t>
                        </w:r>
                      </w:p>
                    </w:tc>
                    <w:tc>
                      <w:tcPr/>
                      <w:p>
                        <w:pPr>
                          <w:pStyle w:val="Compact"/>
                          <w:jc w:val="center"/>
                          <w:jc w:val="center"/>
                        </w:pPr>
                        <w:r>
                          <w:t xml:space="preserve">756</w:t>
                        </w:r>
                      </w:p>
                    </w:tc>
                  </w:tr>
                </w:tbl>
                <w:bookmarkEnd w:id="26"/>
                <w:p/>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27" w:name="tbl-second"/>
                <w:p>
                  <w:pPr>
                    <w:jc w:val="center"/>
                  </w:pPr>
                  <w:pPr>
                    <w:jc w:val="start"/>
                    <w:spacing w:before="200"/>
                    <w:pStyle w:val="ImageCaption"/>
                  </w:pPr>
                  <w:r>
                    <w:t xml:space="preserve">(b) All time</w:t>
                  </w:r>
                </w:p>
                <w:tbl>
                  <w:tblPr>
                    <w:tblStyle w:val="Table"/>
                    <w:tblW w:type="pct" w:w="4900"/>
                    <w:tblLayout w:type="fixed"/>
                    <w:tblLook w:firstRow="1" w:lastRow="0" w:firstColumn="0" w:lastColumn="0" w:noHBand="0" w:noVBand="0" w:val="0020"/>
                  </w:tblPr>
                  <w:tblGrid>
                    <w:gridCol w:w="3880"/>
                    <w:gridCol w:w="3880"/>
                  </w:tblGrid>
                  <w:tr>
                    <w:trPr>
                      <w:tblHeader w:val="on"/>
                    </w:trPr>
                    <w:tc>
                      <w:tcPr/>
                      <w:p>
                        <w:pPr>
                          <w:pStyle w:val="Compact"/>
                          <w:jc w:val="center"/>
                          <w:jc w:val="center"/>
                        </w:pPr>
                        <w:r>
                          <w:t xml:space="preserve"># contrib.</w:t>
                        </w:r>
                      </w:p>
                    </w:tc>
                    <w:tc>
                      <w:tcPr/>
                      <w:p>
                        <w:pPr>
                          <w:pStyle w:val="Compact"/>
                          <w:jc w:val="center"/>
                          <w:jc w:val="center"/>
                        </w:pPr>
                        <w:r>
                          <w:t xml:space="preserve"># repos.</w:t>
                        </w:r>
                      </w:p>
                    </w:tc>
                  </w:tr>
                  <w:tr>
                    <w:tc>
                      <w:tcPr/>
                      <w:p>
                        <w:pPr>
                          <w:pStyle w:val="Compact"/>
                          <w:jc w:val="center"/>
                          <w:jc w:val="center"/>
                        </w:pPr>
                        <w:r>
                          <w:t xml:space="preserve">429</w:t>
                        </w:r>
                      </w:p>
                    </w:tc>
                    <w:tc>
                      <w:tcPr/>
                      <w:p>
                        <w:pPr>
                          <w:pStyle w:val="Compact"/>
                          <w:jc w:val="center"/>
                          <w:jc w:val="center"/>
                        </w:pPr>
                        <w:r>
                          <w:t xml:space="preserve">450</w:t>
                        </w:r>
                      </w:p>
                    </w:tc>
                  </w:tr>
                  <w:tr>
                    <w:tc>
                      <w:tcPr/>
                      <w:p>
                        <w:pPr>
                          <w:pStyle w:val="Compact"/>
                          <w:jc w:val="center"/>
                          <w:jc w:val="center"/>
                        </w:pPr>
                        <w:r>
                          <w:t xml:space="preserve">1,019</w:t>
                        </w:r>
                      </w:p>
                    </w:tc>
                    <w:tc>
                      <w:tcPr/>
                      <w:p>
                        <w:pPr>
                          <w:pStyle w:val="Compact"/>
                          <w:jc w:val="center"/>
                          <w:jc w:val="center"/>
                        </w:pPr>
                        <w:r>
                          <w:t xml:space="preserve">113</w:t>
                        </w:r>
                      </w:p>
                    </w:tc>
                  </w:tr>
                  <w:tr>
                    <w:tc>
                      <w:tcPr/>
                      <w:p>
                        <w:pPr>
                          <w:pStyle w:val="Compact"/>
                          <w:jc w:val="center"/>
                          <w:jc w:val="center"/>
                        </w:pPr>
                        <w:r>
                          <w:t xml:space="preserve">8,497</w:t>
                        </w:r>
                      </w:p>
                    </w:tc>
                    <w:tc>
                      <w:tcPr/>
                      <w:p>
                        <w:pPr>
                          <w:pStyle w:val="Compact"/>
                          <w:jc w:val="center"/>
                          <w:jc w:val="center"/>
                        </w:pPr>
                        <w:r>
                          <w:t xml:space="preserve">8,617</w:t>
                        </w:r>
                      </w:p>
                    </w:tc>
                  </w:tr>
                </w:tbl>
                <w:bookmarkEnd w:id="27"/>
                <w:p/>
              </w:tc>
            </w:tr>
          </w:tbl>
          <w:p/>
        </w:tc>
      </w:tr>
    </w:tbl>
    <w:p>
      <w:pPr>
        <w:pStyle w:val="BodyText"/>
      </w:pPr>
      <w:pPr>
        <w:spacing w:before="200"/>
        <w:pStyle w:val="ImageCaption"/>
      </w:pPr>
      <w:r>
        <w:t xml:space="preserve">Table 1: Number of contributors and number of repositories on GitHub for the three healthcare data standards as per 28-01-2025.</w:t>
      </w:r>
    </w:p>
    <w:bookmarkEnd w:id="28"/>
    <w:p>
      <w:pPr>
        <w:pStyle w:val="BodyText"/>
      </w:pPr>
      <w:r>
        <w:t xml:space="preserve">In summary, we stress that beyond evaluating the intrinsic structure of an open standard and the community that supports the standard, we need to take into account the wider ecosystem of open-source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broad and modular. This is relevant when comparing these standards in real-world implementations. We now turn to two specific use cases where these considerations are at play.</w:t>
      </w:r>
    </w:p>
    <w:bookmarkEnd w:id="29"/>
    <w:bookmarkStart w:id="4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Applications/quarto/share/formats/docx/note.png" id="3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
                <w:bCs/>
              </w:rPr>
              <w:t xml:space="preserve">Data systems</w:t>
            </w:r>
            <w:r>
              <w:t xml:space="preserve"> </w:t>
            </w:r>
            <w:r>
              <w:t xml:space="preserve">often have a centralized architecture, where data is collected in a single repository or location. However, data systems can also</w:t>
            </w:r>
            <w:r>
              <w:t xml:space="preserve"> </w:t>
            </w:r>
            <w:r>
              <w:rPr>
                <w:b/>
                <w:bCs/>
              </w:rPr>
              <w:t xml:space="preserve">distribute</w:t>
            </w:r>
            <w:r>
              <w:t xml:space="preserve"> </w:t>
            </w:r>
            <w:r>
              <w:t xml:space="preserve">the storage and processing of data across different nodes or locations such as servers and edge devices.</w:t>
            </w:r>
          </w:p>
          <w:p>
            <w:pPr>
              <w:pStyle w:val="BodyText"/>
            </w:pPr>
            <w:r>
              <w:rPr>
                <w:b/>
                <w:bCs/>
              </w:rPr>
              <w:t xml:space="preserve">Servers</w:t>
            </w:r>
            <w:r>
              <w:t xml:space="preserve"> </w:t>
            </w:r>
            <w:r>
              <w:t xml:space="preserve">act as the central processing units in data architecture, supporting computing workloads in data extraction, storage and transformation of data.</w:t>
            </w:r>
            <w:r>
              <w:t xml:space="preserve"> </w:t>
            </w:r>
            <w:r>
              <w:rPr>
                <w:b/>
                <w:bCs/>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
                <w:bCs/>
              </w:rPr>
              <w:t xml:space="preserve">Federated learning</w:t>
            </w:r>
            <w:r>
              <w:t xml:space="preserve"> </w:t>
            </w:r>
            <w:r>
              <w:t xml:space="preserve">is an approach where machine learning models are trained across a distributed data system. Data transformations and analysis occur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[23,24]</w:t>
      </w:r>
      <w:r>
        <w:t xml:space="preserve">. Based on ongoing work with the PLUGIN healthcare consortium</w:t>
      </w:r>
      <w:r>
        <w:t xml:space="preserve"> </w:t>
      </w:r>
      <w:r>
        <w:t xml:space="preserve">[25]</w:t>
      </w:r>
      <w:r>
        <w:t xml:space="preserve">, we have detailed an architecture for FL for secondary use of health data for hospitals in the Netherlands. The starting point for this implementation are the National Health Data Infrastructure agreements for research, policy and innovation for the Dutch healthcare sector, which have been adopted at the beginning of 2024</w:t>
      </w:r>
      <w:r>
        <w:t xml:space="preserve"> </w:t>
      </w:r>
      <w:r>
        <w:t xml:space="preserve">[26]</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[26]</w:t>
      </w:r>
      <w:r>
        <w:t xml:space="preserve">). One of the prerequisites of this architecture is that organizations that participate in a federation of</w:t>
      </w:r>
      <w:r>
        <w:t xml:space="preserve"> </w:t>
      </w:r>
      <w:r>
        <w:t xml:space="preserve">‘data stations’</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ayout w:type="fixed"/>
        <w:tblLook w:firstRow="0" w:lastRow="0" w:firstColumn="0" w:lastColumn="0" w:noHBand="0" w:noVBand="0" w:val="0000"/>
      </w:tblPr>
      <w:tblGrid>
        <w:gridCol w:w="7920"/>
      </w:tblGrid>
      <w:tr>
        <w:tc>
          <w:tcPr/>
          <w:bookmarkStart w:id="35" w:name="fig-healthri-architecture"/>
          <w:p>
            <w:pPr>
              <w:pStyle w:val="Compact"/>
              <w:jc w:val="center"/>
            </w:pPr>
            <w:r>
              <w:drawing>
                <wp:inline>
                  <wp:extent cx="5334000" cy="3907154"/>
                  <wp:effectExtent b="0" l="0" r="0" t="0"/>
                  <wp:docPr descr="" title="" id="33" name="Picture"/>
                  <a:graphic>
                    <a:graphicData uri="http://schemas.openxmlformats.org/drawingml/2006/picture">
                      <pic:pic>
                        <pic:nvPicPr>
                          <pic:cNvPr descr="health-ri-architecture.png" id="34" name="Picture"/>
                          <pic:cNvPicPr>
                            <a:picLocks noChangeArrowheads="1" noChangeAspect="1"/>
                          </pic:cNvPicPr>
                        </pic:nvPicPr>
                        <pic:blipFill>
                          <a:blip r:embed="rId32"/>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[26]</w:t>
            </w:r>
          </w:p>
          <w:bookmarkEnd w:id="3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[27]</w:t>
      </w:r>
      <w:r>
        <w:t xml:space="preserve">, FeederNet in South Korea with 57 participating hospitals</w:t>
      </w:r>
      <w:r>
        <w:t xml:space="preserve"> </w:t>
      </w:r>
      <w:r>
        <w:t xml:space="preserve">[28]</w:t>
      </w:r>
      <w:r>
        <w:t xml:space="preserve">, Dutch multi-cohort dementia research with 9 centers</w:t>
      </w:r>
      <w:r>
        <w:t xml:space="preserve"> </w:t>
      </w:r>
      <w:r>
        <w:t xml:space="preserve">[29]</w:t>
      </w:r>
      <w:r>
        <w:t xml:space="preserve">, the European severe heterogeneous asthma research collaboration</w:t>
      </w:r>
      <w:r>
        <w:t xml:space="preserve"> </w:t>
      </w:r>
      <w:r>
        <w:t xml:space="preserve">[30]</w:t>
      </w:r>
      <w:r>
        <w:t xml:space="preserve"> </w:t>
      </w:r>
      <w:r>
        <w:t xml:space="preserve">and the recently initiated Belgian Federated Health Innovation Network (FHIN)</w:t>
      </w:r>
      <w:r>
        <w:t xml:space="preserve"> </w:t>
      </w:r>
      <w:r>
        <w:t xml:space="preserve">[31]</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mechanism</w:t>
      </w:r>
      <w:r>
        <w:t xml:space="preserve"> </w:t>
      </w:r>
      <w:r>
        <w:t xml:space="preserve">[32–34]</w:t>
      </w:r>
      <w:r>
        <w:t xml:space="preserve">. Increasingly, other projects have reported the use of FHIR for persistent, longitudinal storage for FL. A scoping review on the use of FHIR for clinical research shows that it is increasingly being used for data preparation, cohort selection and secondary data sharing</w:t>
      </w:r>
      <w:r>
        <w:t xml:space="preserve"> </w:t>
      </w:r>
      <w:r>
        <w:t xml:space="preserve">[35]</w:t>
      </w:r>
      <w:r>
        <w:t xml:space="preserve">.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[36]</w:t>
      </w:r>
      <w:r>
        <w:t xml:space="preserve">. The fair4health project used FHIR as part of a FAIRification workflow to simplify the process of data extraction and preparation for clinical study analyses</w:t>
      </w:r>
      <w:r>
        <w:t xml:space="preserve"> </w:t>
      </w:r>
      <w:r>
        <w:t xml:space="preserve">[37]</w:t>
      </w:r>
      <w:r>
        <w:t xml:space="preserve">.</w:t>
      </w:r>
    </w:p>
    <w:p>
      <w:pPr>
        <w:pStyle w:val="BodyText"/>
      </w:pPr>
      <w:r>
        <w:t xml:space="preserve">Given that OMOP can be conceptually viewed as a strict subset of FHIR, hybrid solutions using a combination of OMOP and FHIR have also been reported, such as the German KETOS platform</w:t>
      </w:r>
      <w:r>
        <w:t xml:space="preserve"> </w:t>
      </w:r>
      <w:r>
        <w:t xml:space="preserve">[38]</w:t>
      </w:r>
      <w:r>
        <w:t xml:space="preserve">, and the preliminary findings from the European GenoMed4All project which aims to connect clinical and -omics data</w:t>
      </w:r>
      <w:r>
        <w:t xml:space="preserve"> </w:t>
      </w:r>
      <w:r>
        <w:t xml:space="preserve">[39]</w:t>
      </w:r>
      <w:r>
        <w:t xml:space="preserve">. A collaboration of 10 university hospitals in Germany have shown that standardized ETL-processing from FHIR into OMOP can achieve 99% conformance</w:t>
      </w:r>
      <w:r>
        <w:t xml:space="preserve"> </w:t>
      </w:r>
      <w:r>
        <w:t xml:space="preserve">[40]</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[41]</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rectangles), within a larger rectangle with fewer restrictions. Note that if any of the profiles includes a FHIR extension, such as adding a field to include a someone’s birthname, the profiles are no longer strictly concentric. Hence extra care needs to be taken when dealing with extensions when applying the principle of late binding.</w:t>
      </w:r>
    </w:p>
    <w:tbl>
      <w:tblPr>
        <w:tblStyle w:val="Table"/>
        <w:tblW w:type="pct" w:w="5000"/>
        <w:tblLayout w:type="fixed"/>
        <w:tblLook w:firstRow="0" w:lastRow="0" w:firstColumn="0" w:lastColumn="0" w:noHBand="0" w:noVBand="0" w:val="0000"/>
      </w:tblPr>
      <w:tblGrid>
        <w:gridCol w:w="7920"/>
      </w:tblGrid>
      <w:tr>
        <w:tc>
          <w:tcPr/>
          <w:bookmarkStart w:id="39" w:name="fig-late-binding"/>
          <w:p>
            <w:pPr>
              <w:pStyle w:val="Compact"/>
              <w:jc w:val="center"/>
            </w:pPr>
            <w:r>
              <w:drawing>
                <wp:inline>
                  <wp:extent cx="5334000" cy="2908640"/>
                  <wp:effectExtent b="0" l="0" r="0" t="0"/>
                  <wp:docPr descr="" title="" id="37" name="Picture"/>
                  <a:graphic>
                    <a:graphicData uri="http://schemas.openxmlformats.org/drawingml/2006/picture">
                      <pic:pic>
                        <pic:nvPicPr>
                          <pic:cNvPr descr="late-binding.png" id="38" name="Picture"/>
                          <pic:cNvPicPr>
                            <a:picLocks noChangeArrowheads="1" noChangeAspect="1"/>
                          </pic:cNvPicPr>
                        </pic:nvPicPr>
                        <pic:blipFill>
                          <a:blip r:embed="rId36"/>
                          <a:stretch>
                            <a:fillRect/>
                          </a:stretch>
                        </pic:blipFill>
                        <pic:spPr bwMode="auto">
                          <a:xfrm>
                            <a:off x="0" y="0"/>
                            <a:ext cx="5334000" cy="29086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[42–44]</w:t>
      </w:r>
      <w:r>
        <w:t xml:space="preserve"> </w:t>
      </w:r>
      <w:r>
        <w:t xml:space="preserve">and the composable data stack</w:t>
      </w:r>
      <w:r>
        <w:t xml:space="preserve"> </w:t>
      </w:r>
      <w:r>
        <w:t xml:space="preserve">[45]</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[42]</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[46]</w:t>
      </w:r>
      <w:r>
        <w:t xml:space="preserve">. Lakehouses thus combine the key benefits of data lakes and data warehouses: low-cost storage in an open format accessible by a variety of systems from the former, and powerful management and optimization features from the latter. By explicitly aligning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[47]</w:t>
      </w:r>
      <w:r>
        <w:t xml:space="preserve">; Apache Parquet as the standard columnar on-disk format</w:t>
      </w:r>
      <w:r>
        <w:t xml:space="preserve"> </w:t>
      </w:r>
      <w:r>
        <w:t xml:space="preserve">[48]</w:t>
      </w:r>
      <w:r>
        <w:t xml:space="preserve">; and Apache Iceberg as the open table format</w:t>
      </w:r>
      <w:r>
        <w:t xml:space="preserve"> </w:t>
      </w:r>
      <w:r>
        <w:t xml:space="preserve">[49,50]</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[51]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40"/>
    <w:bookmarkStart w:id="5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programs beyond project-centric, vertical solutions into sustainable health information exchanges</w:t>
      </w:r>
      <w:r>
        <w:t xml:space="preserve"> </w:t>
      </w:r>
      <w:r>
        <w:t xml:space="preserve">[52]</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[15]</w:t>
      </w:r>
      <w:r>
        <w:t xml:space="preserve">. As for the open architecture, we see a convergence towards the OpenHIE framework</w:t>
      </w:r>
      <w:r>
        <w:t xml:space="preserve"> </w:t>
      </w:r>
      <w:r>
        <w:t xml:space="preserve">[53]</w:t>
      </w:r>
      <w:r>
        <w:t xml:space="preserve">, which has been adopted by many sub-Saharan African countries as the architectural blueprint for implementing nation-wide health information exchanges (HIE)</w:t>
      </w:r>
      <w:r>
        <w:t xml:space="preserve"> </w:t>
      </w:r>
      <w:r>
        <w:t xml:space="preserve">[54]</w:t>
      </w:r>
      <w:r>
        <w:t xml:space="preserve">, including Nigeria</w:t>
      </w:r>
      <w:r>
        <w:t xml:space="preserve"> </w:t>
      </w:r>
      <w:r>
        <w:t xml:space="preserve">[55]</w:t>
      </w:r>
      <w:r>
        <w:t xml:space="preserve">, Kenya</w:t>
      </w:r>
      <w:r>
        <w:t xml:space="preserve"> </w:t>
      </w:r>
      <w:r>
        <w:t xml:space="preserve">[56]</w:t>
      </w:r>
      <w:r>
        <w:t xml:space="preserve"> </w:t>
      </w:r>
      <w:r>
        <w:t xml:space="preserve">and Tanzania</w:t>
      </w:r>
      <w:r>
        <w:t xml:space="preserve"> </w:t>
      </w:r>
      <w:r>
        <w:t xml:space="preserve">[57]</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ayout w:type="fixed"/>
        <w:tblLook w:firstRow="0" w:lastRow="0" w:firstColumn="0" w:lastColumn="0" w:noHBand="0" w:noVBand="0" w:val="0000"/>
      </w:tblPr>
      <w:tblGrid>
        <w:gridCol w:w="7920"/>
      </w:tblGrid>
      <w:tr>
        <w:tc>
          <w:tcPr/>
          <w:bookmarkStart w:id="44" w:name="fig-openhie"/>
          <w:p>
            <w:pPr>
              <w:pStyle w:val="Compact"/>
              <w:jc w:val="center"/>
            </w:pPr>
            <w:r>
              <w:drawing>
                <wp:inline>
                  <wp:extent cx="5334000" cy="3796029"/>
                  <wp:effectExtent b="0" l="0" r="0" t="0"/>
                  <wp:docPr descr="" title="" id="42" name="Picture"/>
                  <a:graphic>
                    <a:graphicData uri="http://schemas.openxmlformats.org/drawingml/2006/picture">
                      <pic:pic>
                        <pic:nvPicPr>
                          <pic:cNvPr descr="openhie.png" id="43" name="Picture"/>
                          <pic:cNvPicPr>
                            <a:picLocks noChangeArrowheads="1" noChangeAspect="1"/>
                          </pic:cNvPicPr>
                        </pic:nvPicPr>
                        <pic:blipFill>
                          <a:blip r:embed="rId41"/>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4"/>
        </w:tc>
      </w:tr>
    </w:tbl>
    <w:p>
      <w:pPr>
        <w:pStyle w:val="BodyText"/>
      </w:pPr>
      <w:r>
        <w:t xml:space="preserve">While the OpenHIE specification is agnostic to which data standards should be used, in practice the digital health community in LMICs have</w:t>
      </w:r>
      <w:r>
        <w:t xml:space="preserve"> </w:t>
      </w:r>
      <w:r>
        <w:rPr>
          <w:i/>
          <w:iCs/>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[58]</w:t>
      </w:r>
      <w:r>
        <w:t xml:space="preserve">.</w:t>
      </w:r>
    </w:p>
    <w:tbl>
      <w:tblPr>
        <w:tblStyle w:val="Table"/>
        <w:tblW w:type="pct" w:w="5000"/>
        <w:tblLayout w:type="fixed"/>
        <w:tblLook w:firstRow="0" w:lastRow="0" w:firstColumn="0" w:lastColumn="0" w:noHBand="0" w:noVBand="0" w:val="0000"/>
      </w:tblPr>
      <w:tblGrid>
        <w:gridCol w:w="7920"/>
      </w:tblGrid>
      <w:tr>
        <w:tc>
          <w:tcPr/>
          <w:bookmarkStart w:id="49" w:name="fig-openhim-platform"/>
          <w:p>
            <w:pPr>
              <w:pStyle w:val="Compact"/>
              <w:jc w:val="center"/>
            </w:pPr>
            <w:r>
              <w:drawing>
                <wp:inline>
                  <wp:extent cx="5334000" cy="2449195"/>
                  <wp:effectExtent b="0" l="0" r="0" t="0"/>
                  <wp:docPr descr="" title="" id="46" name="Picture"/>
                  <a:graphic>
                    <a:graphicData uri="http://schemas.openxmlformats.org/drawingml/2006/picture">
                      <pic:pic>
                        <pic:nvPicPr>
                          <pic:cNvPr descr="openhim-platform.png" id="47" name="Picture"/>
                          <pic:cNvPicPr>
                            <a:picLocks noChangeArrowheads="1" noChangeAspect="1"/>
                          </pic:cNvPicPr>
                        </pic:nvPicPr>
                        <pic:blipFill>
                          <a:blip r:embed="rId45"/>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48">
              <w:r>
                <w:rPr>
                  <w:rStyle w:val="Hyperlink"/>
                </w:rPr>
                <w:t xml:space="preserve">https://jembi.gitbook.io/</w:t>
              </w:r>
            </w:hyperlink>
            <w:r>
              <w:t xml:space="preserve">.</w:t>
            </w:r>
          </w:p>
          <w:bookmarkEnd w:id="49"/>
        </w:tc>
      </w:tr>
    </w:tbl>
    <w:p>
      <w:pPr>
        <w:pStyle w:val="BodyText"/>
      </w:pPr>
      <w:r>
        <w:t xml:space="preserve">Looking at the Point-of-Service systems, we see that as of today openEHR is rarely used as the standard for clinical administration in LMICs. The largest open-source electronic health record (EHR) implementations for low-resource settings are based on non-standardized data models, and it is unlikely this will change any time soon</w:t>
      </w:r>
      <w:r>
        <w:t xml:space="preserve"> </w:t>
      </w:r>
      <w:r>
        <w:t xml:space="preserve">[59]</w:t>
      </w:r>
      <w:r>
        <w:t xml:space="preserve">. Instead, we see that FHIR-native software development frameworks such as OpenSRP</w:t>
      </w:r>
      <w:r>
        <w:t xml:space="preserve"> </w:t>
      </w:r>
      <w:r>
        <w:t xml:space="preserve">[60]</w:t>
      </w:r>
      <w:r>
        <w:t xml:space="preserve"> </w:t>
      </w:r>
      <w:r>
        <w:t xml:space="preserve">and the Open Health Stack</w:t>
      </w:r>
      <w:r>
        <w:t xml:space="preserve"> </w:t>
      </w:r>
      <w:r>
        <w:t xml:space="preserve">[61]</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[62,63]</w:t>
      </w:r>
      <w:r>
        <w:t xml:space="preserve">. Beda EMR takes a similar approach and provides a FHIR native front-end that can be used in combination with any FHIR server as a backend</w:t>
      </w:r>
      <w:r>
        <w:t xml:space="preserve"> </w:t>
      </w:r>
      <w:r>
        <w:t xml:space="preserve">[64]</w:t>
      </w:r>
      <w:r>
        <w:t xml:space="preserve">. Such a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 Note that this observation in the context of LMICs is not intended to dismiss openEHR outright. As the openEHR ecosystem continues to evolve, including its convergence with FHIR as a standard data exchange interface</w:t>
      </w:r>
      <w:r>
        <w:t xml:space="preserve"> </w:t>
      </w:r>
      <w:r>
        <w:t xml:space="preserve">[65,66]</w:t>
      </w:r>
      <w:r>
        <w:t xml:space="preserve">, we are supportive of using openEHR to realize digital health ecosystems like, for example, has been done in the European Nordic countries</w:t>
      </w:r>
      <w:r>
        <w:t xml:space="preserve"> </w:t>
      </w:r>
      <w:r>
        <w:t xml:space="preserve">[67]</w:t>
      </w:r>
      <w:r>
        <w:t xml:space="preserve">.</w:t>
      </w:r>
    </w:p>
    <w:tbl>
      <w:tblPr>
        <w:tblStyle w:val="Table"/>
        <w:tblW w:type="pct" w:w="5000"/>
        <w:tblLayout w:type="fixed"/>
        <w:tblLook w:firstRow="0" w:lastRow="0" w:firstColumn="0" w:lastColumn="0" w:noHBand="0" w:noVBand="0" w:val="0000"/>
      </w:tblPr>
      <w:tblGrid>
        <w:gridCol w:w="7920"/>
      </w:tblGrid>
      <w:tr>
        <w:tc>
          <w:tcPr/>
          <w:bookmarkStart w:id="54" w:name="fig-opensrp"/>
          <w:p>
            <w:pPr>
              <w:pStyle w:val="Compact"/>
              <w:jc w:val="center"/>
            </w:pPr>
            <w:r>
              <w:drawing>
                <wp:inline>
                  <wp:extent cx="5334000" cy="2351405"/>
                  <wp:effectExtent b="0" l="0" r="0" t="0"/>
                  <wp:docPr descr="" title="" id="51" name="Picture"/>
                  <a:graphic>
                    <a:graphicData uri="http://schemas.openxmlformats.org/drawingml/2006/picture">
                      <pic:pic>
                        <pic:nvPicPr>
                          <pic:cNvPr descr="opensrp.png" id="52" name="Picture"/>
                          <pic:cNvPicPr>
                            <a:picLocks noChangeArrowheads="1" noChangeAspect="1"/>
                          </pic:cNvPicPr>
                        </pic:nvPicPr>
                        <pic:blipFill>
                          <a:blip r:embed="rId50"/>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53">
              <w:r>
                <w:rPr>
                  <w:rStyle w:val="Hyperlink"/>
                </w:rPr>
                <w:t xml:space="preserve">https://docs.opensrp.io/</w:t>
              </w:r>
            </w:hyperlink>
            <w:r>
              <w:t xml:space="preserve">.</w:t>
            </w:r>
          </w:p>
          <w:bookmarkEnd w:id="54"/>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open-source technologies. FHIR-specific technologies such as Bulk FHIR data access and SQL-on-FHIR mentioned earlier, allow the FHIR ecosystem to be used, complemented and integrated with generic open-source data warehousing technologies such as Clickhouse</w:t>
      </w:r>
      <w:r>
        <w:t xml:space="preserve"> </w:t>
      </w:r>
      <w:r>
        <w:t xml:space="preserve">[68]</w:t>
      </w:r>
      <w:r>
        <w:t xml:space="preserve"> </w:t>
      </w:r>
      <w:r>
        <w:t xml:space="preserve">and dbt</w:t>
      </w:r>
      <w:r>
        <w:t xml:space="preserve"> </w:t>
      </w:r>
      <w:r>
        <w:t xml:space="preserve">[69]</w:t>
      </w:r>
      <w:r>
        <w:t xml:space="preserve">. Increasingly more studies have pointed to the potential that FHIR can bring when it is used in conjunction with machine learning and AI</w:t>
      </w:r>
      <w:r>
        <w:t xml:space="preserve"> </w:t>
      </w:r>
      <w:r>
        <w:t xml:space="preserve">[70]</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less flexible in their design and are thereby less suitable as a standard to implement the subsystems defined in the OpenHIE specification.</w:t>
      </w:r>
    </w:p>
    <w:bookmarkEnd w:id="55"/>
    <w:bookmarkStart w:id="56" w:name="conclusion-and-future-research"/>
    <w:p>
      <w:pPr>
        <w:pStyle w:val="Heading2"/>
      </w:pPr>
      <w:r>
        <w:t xml:space="preserve">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[15]</w:t>
      </w:r>
      <w:r>
        <w:t xml:space="preserve">. Furthermore, we argue that FHIR has the potential of acting as the spanning layer within the open health data system at large, thereby enabling much wider standardization and adoption within the health data ecosystem at large. This is illustrated by the two cases considered here,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w:t>
      </w:r>
    </w:p>
    <w:p>
      <w:pPr>
        <w:pStyle w:val="BodyText"/>
      </w:pPr>
      <w:r>
        <w:t xml:space="preserve">In the case of LMICs, we see that FHIR is emerging as the standard for all three domains of clinical administration, data exchange and longitudinal analysis. We expect that FHIR will play a major role in driving health data convergence in LMICs, because the availability of open-source implementations and complementary components are important enablers in these resource-constrained environments. We strongly support ongoing developments to increase the availability of open-source implementations as digital public goods</w:t>
      </w:r>
      <w:r>
        <w:t xml:space="preserve"> </w:t>
      </w:r>
      <w:r>
        <w:t xml:space="preserve">[71]</w:t>
      </w:r>
      <w:r>
        <w:t xml:space="preserve"> </w:t>
      </w:r>
      <w:r>
        <w:t xml:space="preserve">and integration projects such as Instant OpenHIE</w:t>
      </w:r>
      <w:r>
        <w:t xml:space="preserve"> </w:t>
      </w:r>
      <w:r>
        <w:t xml:space="preserve">[72]</w:t>
      </w:r>
      <w:r>
        <w:t xml:space="preserve">, through which we have a fighting chance to move the needle in health data standardization for LMICs.</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open-source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6"/>
    <w:bookmarkStart w:id="5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DK and FH revised the manuscript based on the feedback from the peer reviewers. All authors contributed to the final revision and approved the final manuscript.</w:t>
      </w:r>
    </w:p>
    <w:bookmarkEnd w:id="57"/>
    <w:bookmarkStart w:id="5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58"/>
    <w:bookmarkStart w:id="59" w:name="abbreviations"/>
    <w:p>
      <w:pPr>
        <w:pStyle w:val="Heading2"/>
      </w:pPr>
      <w:r>
        <w:t xml:space="preserve">Abbreviations</w:t>
      </w:r>
    </w:p>
    <w:p>
      <w:pPr>
        <w:pStyle w:val="FirstParagraph"/>
      </w:pP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59"/>
    <w:bookmarkStart w:id="200" w:name="bibliography"/>
    <w:p>
      <w:pPr>
        <w:pStyle w:val="Heading1"/>
      </w:pPr>
      <w:r>
        <w:t xml:space="preserve">References</w:t>
      </w:r>
    </w:p>
    <w:bookmarkStart w:id="199" w:name="refs"/>
    <w:bookmarkStart w:id="61"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
          <w:iCs/>
        </w:rPr>
        <w:t xml:space="preserve">Journal of Medical Internet Research</w:t>
      </w:r>
      <w:r>
        <w:t xml:space="preserve">. 2024;26(1):e55779. doi:</w:t>
      </w:r>
      <w:hyperlink r:id="rId60">
        <w:r>
          <w:rPr>
            <w:rStyle w:val="Hyperlink"/>
          </w:rPr>
          <w:t xml:space="preserve">10.2196/55779</w:t>
        </w:r>
      </w:hyperlink>
    </w:p>
    <w:bookmarkEnd w:id="61"/>
    <w:bookmarkStart w:id="6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
          <w:iCs/>
        </w:rPr>
        <w:t xml:space="preserve">Journal of Information Technology</w:t>
      </w:r>
      <w:r>
        <w:t xml:space="preserve">. 2018;33(2):124-135. doi:</w:t>
      </w:r>
      <w:hyperlink r:id="rId62">
        <w:r>
          <w:rPr>
            <w:rStyle w:val="Hyperlink"/>
          </w:rPr>
          <w:t xml:space="preserve">10.1057/s41265-016-0033-3</w:t>
        </w:r>
      </w:hyperlink>
    </w:p>
    <w:bookmarkEnd w:id="63"/>
    <w:bookmarkStart w:id="6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
          <w:iCs/>
        </w:rPr>
        <w:t xml:space="preserve">Open Future</w:t>
      </w:r>
      <w:r>
        <w:t xml:space="preserve">. Published online March 5, 2021. Accessed March 25, 2024.</w:t>
      </w:r>
      <w:r>
        <w:t xml:space="preserve"> </w:t>
      </w:r>
      <w:hyperlink r:id="rId64">
        <w:r>
          <w:rPr>
            <w:rStyle w:val="Hyperlink"/>
          </w:rPr>
          <w:t xml:space="preserve">https://openfuture.pubpub.org/pub/paradox-of-open/release/1</w:t>
        </w:r>
      </w:hyperlink>
    </w:p>
    <w:bookmarkEnd w:id="65"/>
    <w:bookmarkStart w:id="67"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
          <w:iCs/>
        </w:rPr>
        <w:t xml:space="preserve">Science</w:t>
      </w:r>
      <w:r>
        <w:t xml:space="preserve">. 2010;330(6005):759-760. doi:</w:t>
      </w:r>
      <w:hyperlink r:id="rId66">
        <w:r>
          <w:rPr>
            <w:rStyle w:val="Hyperlink"/>
          </w:rPr>
          <w:t xml:space="preserve">10.1126/science.1196187</w:t>
        </w:r>
      </w:hyperlink>
    </w:p>
    <w:bookmarkEnd w:id="67"/>
    <w:bookmarkStart w:id="69" w:name="ref-beck2019hourglass"/>
    <w:p>
      <w:pPr>
        <w:pStyle w:val="Bibliography"/>
      </w:pPr>
      <w:r>
        <w:t xml:space="preserve">5.</w:t>
      </w:r>
      <w:r>
        <w:t xml:space="preserve"> </w:t>
      </w:r>
      <w:r>
        <w:t xml:space="preserve">	</w:t>
      </w:r>
      <w:r>
        <w:t xml:space="preserve">Beck M. On the hourglass model.</w:t>
      </w:r>
      <w:r>
        <w:t xml:space="preserve"> </w:t>
      </w:r>
      <w:r>
        <w:rPr>
          <w:i/>
          <w:iCs/>
        </w:rPr>
        <w:t xml:space="preserve">Communications of the ACM</w:t>
      </w:r>
      <w:r>
        <w:t xml:space="preserve">. 2019;62(7):48-57. doi:</w:t>
      </w:r>
      <w:hyperlink r:id="rId68">
        <w:r>
          <w:rPr>
            <w:rStyle w:val="Hyperlink"/>
          </w:rPr>
          <w:t xml:space="preserve">10.1145/3274770</w:t>
        </w:r>
      </w:hyperlink>
    </w:p>
    <w:bookmarkEnd w:id="69"/>
    <w:bookmarkStart w:id="71"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
          <w:iCs/>
        </w:rPr>
        <w:t xml:space="preserve">Proceedings of the 1st</w:t>
      </w:r>
      <w:r>
        <w:rPr>
          <w:i/>
          <w:iCs/>
        </w:rPr>
        <w:t xml:space="preserve"> </w:t>
      </w:r>
      <w:r>
        <w:rPr>
          <w:i/>
          <w:iCs/>
        </w:rPr>
        <w:t xml:space="preserve">International Workshop</w:t>
      </w:r>
      <w:r>
        <w:rPr>
          <w:i/>
          <w:iCs/>
        </w:rPr>
        <w:t xml:space="preserve"> </w:t>
      </w:r>
      <w:r>
        <w:rPr>
          <w:i/>
          <w:iCs/>
        </w:rPr>
        <w:t xml:space="preserve">on</w:t>
      </w:r>
      <w:r>
        <w:rPr>
          <w:i/>
          <w:iCs/>
        </w:rPr>
        <w:t xml:space="preserve"> </w:t>
      </w:r>
      <w:r>
        <w:rPr>
          <w:i/>
          <w:iCs/>
        </w:rPr>
        <w:t xml:space="preserve">Data Economy</w:t>
      </w:r>
      <w:r>
        <w:t xml:space="preserve">.</w:t>
      </w:r>
      <w:r>
        <w:t xml:space="preserve"> </w:t>
      </w:r>
      <w:r>
        <w:t xml:space="preserve">DE</w:t>
      </w:r>
      <w:r>
        <w:t xml:space="preserve"> </w:t>
      </w:r>
      <w:r>
        <w:t xml:space="preserve">’22. Association for Computing Machinery; 2022:34-41. doi:</w:t>
      </w:r>
      <w:hyperlink r:id="rId70">
        <w:r>
          <w:rPr>
            <w:rStyle w:val="Hyperlink"/>
          </w:rPr>
          <w:t xml:space="preserve">10.1145/3565011.3569056</w:t>
        </w:r>
      </w:hyperlink>
    </w:p>
    <w:bookmarkEnd w:id="71"/>
    <w:bookmarkStart w:id="73"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
          <w:iCs/>
        </w:rPr>
        <w:t xml:space="preserve">Journal of Medical Internet Research</w:t>
      </w:r>
      <w:r>
        <w:t xml:space="preserve">. 2011;13(1):e1521. doi:</w:t>
      </w:r>
      <w:hyperlink r:id="rId72">
        <w:r>
          <w:rPr>
            <w:rStyle w:val="Hyperlink"/>
          </w:rPr>
          <w:t xml:space="preserve">10.2196/jmir.1521</w:t>
        </w:r>
      </w:hyperlink>
    </w:p>
    <w:bookmarkEnd w:id="73"/>
    <w:bookmarkStart w:id="75" w:name="ref-wikipedia-gsm"/>
    <w:p>
      <w:pPr>
        <w:pStyle w:val="Bibliography"/>
      </w:pPr>
      <w:r>
        <w:t xml:space="preserve">8.</w:t>
      </w:r>
      <w:r>
        <w:t xml:space="preserve"> </w:t>
      </w:r>
      <w:r>
        <w:t xml:space="preserve">	</w:t>
      </w:r>
      <w:r>
        <w:t xml:space="preserve">GSM</w:t>
      </w:r>
      <w:r>
        <w:t xml:space="preserve">. In:</w:t>
      </w:r>
      <w:r>
        <w:t xml:space="preserve"> </w:t>
      </w:r>
      <w:r>
        <w:rPr>
          <w:i/>
          <w:iCs/>
        </w:rPr>
        <w:t xml:space="preserve">Wikipedia</w:t>
      </w:r>
      <w:r>
        <w:t xml:space="preserve">.; 2024. Accessed September 20, 2024.</w:t>
      </w:r>
      <w:r>
        <w:t xml:space="preserve"> </w:t>
      </w:r>
      <w:hyperlink r:id="rId74">
        <w:r>
          <w:rPr>
            <w:rStyle w:val="Hyperlink"/>
          </w:rPr>
          <w:t xml:space="preserve">https://en.wikipedia.org/w/index.php?title=GSM&amp;oldid=1245675274</w:t>
        </w:r>
      </w:hyperlink>
    </w:p>
    <w:bookmarkEnd w:id="75"/>
    <w:bookmarkStart w:id="77" w:name="ref-hl72024state"/>
    <w:p>
      <w:pPr>
        <w:pStyle w:val="Bibliography"/>
      </w:pPr>
      <w:r>
        <w:t xml:space="preserve">9.</w:t>
      </w:r>
      <w:r>
        <w:t xml:space="preserve"> </w:t>
      </w:r>
      <w:r>
        <w:t xml:space="preserve">	</w:t>
      </w:r>
      <w:r>
        <w:rPr>
          <w:i/>
          <w:iCs/>
        </w:rPr>
        <w:t xml:space="preserve">The</w:t>
      </w:r>
      <w:r>
        <w:rPr>
          <w:i/>
          <w:iCs/>
        </w:rPr>
        <w:t xml:space="preserve"> </w:t>
      </w:r>
      <w:r>
        <w:rPr>
          <w:i/>
          <w:iCs/>
        </w:rPr>
        <w:t xml:space="preserve">State</w:t>
      </w:r>
      <w:r>
        <w:rPr>
          <w:i/>
          <w:iCs/>
        </w:rPr>
        <w:t xml:space="preserve"> </w:t>
      </w:r>
      <w:r>
        <w:rPr>
          <w:i/>
          <w:iCs/>
        </w:rPr>
        <w:t xml:space="preserve">of</w:t>
      </w:r>
      <w:r>
        <w:rPr>
          <w:i/>
          <w:iCs/>
        </w:rPr>
        <w:t xml:space="preserve"> </w:t>
      </w:r>
      <w:r>
        <w:rPr>
          <w:i/>
          <w:iCs/>
        </w:rPr>
        <w:t xml:space="preserve">FHIR</w:t>
      </w:r>
      <w:r>
        <w:rPr>
          <w:i/>
          <w:iCs/>
        </w:rPr>
        <w:t xml:space="preserve"> </w:t>
      </w:r>
      <w:r>
        <w:rPr>
          <w:i/>
          <w:iCs/>
        </w:rPr>
        <w:t xml:space="preserve">2024</w:t>
      </w:r>
      <w:r>
        <w:rPr>
          <w:i/>
          <w:iCs/>
        </w:rPr>
        <w:t xml:space="preserve"> </w:t>
      </w:r>
      <w:r>
        <w:rPr>
          <w:i/>
          <w:iCs/>
        </w:rPr>
        <w:t xml:space="preserve">Survey Results</w:t>
      </w:r>
      <w:r>
        <w:t xml:space="preserve">. HL7; 2024. Accessed April 4, 2024.</w:t>
      </w:r>
      <w:r>
        <w:t xml:space="preserve"> </w:t>
      </w:r>
      <w:hyperlink r:id="rId76">
        <w:r>
          <w:rPr>
            <w:rStyle w:val="Hyperlink"/>
          </w:rPr>
          <w:t xml:space="preserve">https://www.hl7.org/documentcenter/public/white-papers/2024%20StateofFHIRSurveyResults_final.pdf</w:t>
        </w:r>
      </w:hyperlink>
    </w:p>
    <w:bookmarkEnd w:id="77"/>
    <w:bookmarkStart w:id="79" w:name="ref-carmo2024d22"/>
    <w:p>
      <w:pPr>
        <w:pStyle w:val="Bibliography"/>
      </w:pPr>
      <w:r>
        <w:t xml:space="preserve">10.</w:t>
      </w:r>
      <w:r>
        <w:t xml:space="preserve"> </w:t>
      </w:r>
      <w:r>
        <w:t xml:space="preserve">	</w:t>
      </w:r>
      <w:r>
        <w:t xml:space="preserve">Carmo A, Martins H.</w:t>
      </w:r>
      <w:r>
        <w:t xml:space="preserve"> </w:t>
      </w:r>
      <w:r>
        <w:rPr>
          <w:i/>
          <w:iCs/>
        </w:rPr>
        <w:t xml:space="preserve">D2.2 -</w:t>
      </w:r>
      <w:r>
        <w:rPr>
          <w:i/>
          <w:iCs/>
        </w:rPr>
        <w:t xml:space="preserve"> </w:t>
      </w:r>
      <w:r>
        <w:rPr>
          <w:i/>
          <w:iCs/>
        </w:rPr>
        <w:t xml:space="preserve">EHRxF</w:t>
      </w:r>
      <w:r>
        <w:rPr>
          <w:i/>
          <w:iCs/>
        </w:rPr>
        <w:t xml:space="preserve"> </w:t>
      </w:r>
      <w:r>
        <w:rPr>
          <w:i/>
          <w:iCs/>
        </w:rPr>
        <w:t xml:space="preserve">in a Nutshell-</w:t>
      </w:r>
      <w:r>
        <w:rPr>
          <w:i/>
          <w:iCs/>
        </w:rPr>
        <w:t xml:space="preserve">WP2-ISCTE</w:t>
      </w:r>
      <w:r>
        <w:t xml:space="preserve">.; 2024.</w:t>
      </w:r>
      <w:r>
        <w:t xml:space="preserve"> </w:t>
      </w:r>
      <w:hyperlink r:id="rId78">
        <w:r>
          <w:rPr>
            <w:rStyle w:val="Hyperlink"/>
          </w:rPr>
          <w:t xml:space="preserve">https://ehr-exchange-format.eu/wp-content/uploads/2024/10/D2.2-v20240704-EHRxF-in-a-Nutshell-WP2-ISCTE.pdf</w:t>
        </w:r>
      </w:hyperlink>
    </w:p>
    <w:bookmarkEnd w:id="79"/>
    <w:bookmarkStart w:id="81" w:name="ref-firely2023fhir"/>
    <w:p>
      <w:pPr>
        <w:pStyle w:val="Bibliography"/>
      </w:pPr>
      <w:r>
        <w:t xml:space="preserve">11.</w:t>
      </w:r>
      <w:r>
        <w:t xml:space="preserve"> </w:t>
      </w:r>
      <w:r>
        <w:t xml:space="preserve">	</w:t>
      </w:r>
      <w:r>
        <w:t xml:space="preserve">Firely.</w:t>
      </w:r>
      <w:r>
        <w:t xml:space="preserve"> </w:t>
      </w:r>
      <w:r>
        <w:rPr>
          <w:i/>
          <w:iCs/>
        </w:rPr>
        <w:t xml:space="preserve">FHIR</w:t>
      </w:r>
      <w:r>
        <w:rPr>
          <w:i/>
          <w:iCs/>
        </w:rPr>
        <w:t xml:space="preserve"> </w:t>
      </w:r>
      <w:r>
        <w:rPr>
          <w:i/>
          <w:iCs/>
        </w:rPr>
        <w:t xml:space="preserve">in</w:t>
      </w:r>
      <w:r>
        <w:rPr>
          <w:i/>
          <w:iCs/>
        </w:rPr>
        <w:t xml:space="preserve"> </w:t>
      </w:r>
      <w:r>
        <w:rPr>
          <w:i/>
          <w:iCs/>
        </w:rPr>
        <w:t xml:space="preserve">US</w:t>
      </w:r>
      <w:r>
        <w:rPr>
          <w:i/>
          <w:iCs/>
        </w:rPr>
        <w:t xml:space="preserve"> </w:t>
      </w:r>
      <w:r>
        <w:rPr>
          <w:i/>
          <w:iCs/>
        </w:rPr>
        <w:t xml:space="preserve">Healthcare Regulations</w:t>
      </w:r>
      <w:r>
        <w:t xml:space="preserve">.; 2023. Accessed May 30, 2024.</w:t>
      </w:r>
      <w:r>
        <w:t xml:space="preserve"> </w:t>
      </w:r>
      <w:hyperlink r:id="rId80">
        <w:r>
          <w:rPr>
            <w:rStyle w:val="Hyperlink"/>
          </w:rPr>
          <w:t xml:space="preserve">https://simplifier.net/organization/firely/news/153</w:t>
        </w:r>
      </w:hyperlink>
    </w:p>
    <w:bookmarkEnd w:id="81"/>
    <w:bookmarkStart w:id="82" w:name="ref-india2020national"/>
    <w:p>
      <w:pPr>
        <w:pStyle w:val="Bibliography"/>
      </w:pPr>
      <w:r>
        <w:t xml:space="preserve">12.</w:t>
      </w:r>
      <w:r>
        <w:t xml:space="preserve"> </w:t>
      </w:r>
      <w:r>
        <w:t xml:space="preserve">	</w:t>
      </w:r>
      <w:r>
        <w:rPr>
          <w:i/>
          <w:iCs/>
        </w:rPr>
        <w:t xml:space="preserve">National</w:t>
      </w:r>
      <w:r>
        <w:rPr>
          <w:i/>
          <w:iCs/>
        </w:rPr>
        <w:t xml:space="preserve"> </w:t>
      </w:r>
      <w:r>
        <w:rPr>
          <w:i/>
          <w:iCs/>
        </w:rPr>
        <w:t xml:space="preserve">Digital Health Mission</w:t>
      </w:r>
      <w:r>
        <w:t xml:space="preserve">. India National Health Authority; 2020.</w:t>
      </w:r>
    </w:p>
    <w:bookmarkEnd w:id="82"/>
    <w:bookmarkStart w:id="84" w:name="ref-2023hcx"/>
    <w:p>
      <w:pPr>
        <w:pStyle w:val="Bibliography"/>
      </w:pPr>
      <w:r>
        <w:t xml:space="preserve">13.</w:t>
      </w:r>
      <w:r>
        <w:t xml:space="preserve"> </w:t>
      </w:r>
      <w:r>
        <w:t xml:space="preserve">	</w:t>
      </w:r>
      <w:r>
        <w:rPr>
          <w:i/>
          <w:iCs/>
        </w:rPr>
        <w:t xml:space="preserve">HCX Protocol</w:t>
      </w:r>
      <w:r>
        <w:rPr>
          <w:i/>
          <w:iCs/>
        </w:rPr>
        <w:t xml:space="preserve"> </w:t>
      </w:r>
      <w:r>
        <w:rPr>
          <w:i/>
          <w:iCs/>
        </w:rPr>
        <w:t xml:space="preserve">V0.9</w:t>
      </w:r>
      <w:r>
        <w:t xml:space="preserve">.; 2023. Accessed September 18, 2024.</w:t>
      </w:r>
      <w:r>
        <w:t xml:space="preserve"> </w:t>
      </w:r>
      <w:hyperlink r:id="rId83">
        <w:r>
          <w:rPr>
            <w:rStyle w:val="Hyperlink"/>
          </w:rPr>
          <w:t xml:space="preserve">http://hcxprotocol.io/</w:t>
        </w:r>
      </w:hyperlink>
    </w:p>
    <w:bookmarkEnd w:id="84"/>
    <w:bookmarkStart w:id="85" w:name="ref-tilahun2023african"/>
    <w:p>
      <w:pPr>
        <w:pStyle w:val="Bibliography"/>
      </w:pPr>
      <w:r>
        <w:t xml:space="preserve">14.</w:t>
      </w:r>
      <w:r>
        <w:t xml:space="preserve"> </w:t>
      </w:r>
      <w:r>
        <w:t xml:space="preserve">	</w:t>
      </w:r>
      <w:r>
        <w:t xml:space="preserve">Tilahun B, Mamuye A, Yilma T, Shehata Y.</w:t>
      </w:r>
      <w:r>
        <w:t xml:space="preserve"> </w:t>
      </w:r>
      <w:r>
        <w:rPr>
          <w:i/>
          <w:iCs/>
        </w:rPr>
        <w:t xml:space="preserve">African</w:t>
      </w:r>
      <w:r>
        <w:rPr>
          <w:i/>
          <w:iCs/>
        </w:rPr>
        <w:t xml:space="preserve"> </w:t>
      </w:r>
      <w:r>
        <w:rPr>
          <w:i/>
          <w:iCs/>
        </w:rPr>
        <w:t xml:space="preserve">Union Health Information Exchange Guidelines</w:t>
      </w:r>
      <w:r>
        <w:rPr>
          <w:i/>
          <w:iCs/>
        </w:rPr>
        <w:t xml:space="preserve"> </w:t>
      </w:r>
      <w:r>
        <w:rPr>
          <w:i/>
          <w:iCs/>
        </w:rPr>
        <w:t xml:space="preserve">and</w:t>
      </w:r>
      <w:r>
        <w:rPr>
          <w:i/>
          <w:iCs/>
        </w:rPr>
        <w:t xml:space="preserve"> </w:t>
      </w:r>
      <w:r>
        <w:rPr>
          <w:i/>
          <w:iCs/>
        </w:rPr>
        <w:t xml:space="preserve">Standards</w:t>
      </w:r>
      <w:r>
        <w:t xml:space="preserve">.; 2023.</w:t>
      </w:r>
    </w:p>
    <w:bookmarkEnd w:id="85"/>
    <w:bookmarkStart w:id="87" w:name="ref-mehl2023fullstac"/>
    <w:p>
      <w:pPr>
        <w:pStyle w:val="Bibliography"/>
      </w:pPr>
      <w:r>
        <w:t xml:space="preserve">15.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
          <w:iCs/>
        </w:rPr>
        <w:t xml:space="preserve">Oxford Open Digital Health</w:t>
      </w:r>
      <w:r>
        <w:t xml:space="preserve">. 2023;1:oqad018. doi:</w:t>
      </w:r>
      <w:hyperlink r:id="rId86">
        <w:r>
          <w:rPr>
            <w:rStyle w:val="Hyperlink"/>
          </w:rPr>
          <w:t xml:space="preserve">10.1093/oodh/oqad018</w:t>
        </w:r>
      </w:hyperlink>
    </w:p>
    <w:bookmarkEnd w:id="87"/>
    <w:bookmarkStart w:id="89" w:name="ref-mandl2020push"/>
    <w:p>
      <w:pPr>
        <w:pStyle w:val="Bibliography"/>
      </w:pPr>
      <w:r>
        <w:t xml:space="preserve">16.</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
          <w:iCs/>
        </w:rPr>
        <w:t xml:space="preserve">npj Digital Medicine</w:t>
      </w:r>
      <w:r>
        <w:t xml:space="preserve">. 2020;3(1):1-9. doi:</w:t>
      </w:r>
      <w:hyperlink r:id="rId88">
        <w:r>
          <w:rPr>
            <w:rStyle w:val="Hyperlink"/>
          </w:rPr>
          <w:t xml:space="preserve">10.1038/s41746-020-00358-4</w:t>
        </w:r>
      </w:hyperlink>
    </w:p>
    <w:bookmarkEnd w:id="89"/>
    <w:bookmarkStart w:id="91" w:name="ref-jones2021landscape"/>
    <w:p>
      <w:pPr>
        <w:pStyle w:val="Bibliography"/>
      </w:pPr>
      <w:r>
        <w:t xml:space="preserve">17.</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
          <w:iCs/>
        </w:rPr>
        <w:t xml:space="preserve">Journal of the American Medical Informatics Association</w:t>
      </w:r>
      <w:r>
        <w:t xml:space="preserve">. 2021;28(6):1284-1287. doi:</w:t>
      </w:r>
      <w:hyperlink r:id="rId90">
        <w:r>
          <w:rPr>
            <w:rStyle w:val="Hyperlink"/>
          </w:rPr>
          <w:t xml:space="preserve">10.1093/jamia/ocab028</w:t>
        </w:r>
      </w:hyperlink>
    </w:p>
    <w:bookmarkEnd w:id="91"/>
    <w:bookmarkStart w:id="93" w:name="ref-sql-on-fhir-v2"/>
    <w:p>
      <w:pPr>
        <w:pStyle w:val="Bibliography"/>
      </w:pPr>
      <w:r>
        <w:t xml:space="preserve">18.</w:t>
      </w:r>
      <w:r>
        <w:t xml:space="preserve"> </w:t>
      </w:r>
      <w:r>
        <w:t xml:space="preserve">	</w:t>
      </w:r>
      <w:r>
        <w:rPr>
          <w:i/>
          <w:iCs/>
        </w:rPr>
        <w:t xml:space="preserve">SQL</w:t>
      </w:r>
      <w:r>
        <w:rPr>
          <w:i/>
          <w:iCs/>
        </w:rPr>
        <w:t xml:space="preserve"> </w:t>
      </w:r>
      <w:r>
        <w:rPr>
          <w:i/>
          <w:iCs/>
        </w:rPr>
        <w:t xml:space="preserve">on</w:t>
      </w:r>
      <w:r>
        <w:rPr>
          <w:i/>
          <w:iCs/>
        </w:rPr>
        <w:t xml:space="preserve"> </w:t>
      </w:r>
      <w:r>
        <w:rPr>
          <w:i/>
          <w:iCs/>
        </w:rPr>
        <w:t xml:space="preserve">FHIR</w:t>
      </w:r>
      <w:r>
        <w:rPr>
          <w:i/>
          <w:iCs/>
        </w:rPr>
        <w:t xml:space="preserve"> </w:t>
      </w:r>
      <w:r>
        <w:rPr>
          <w:i/>
          <w:iCs/>
        </w:rPr>
        <w:t xml:space="preserve">V2.0.0-Pre</w:t>
      </w:r>
      <w:r>
        <w:t xml:space="preserve">. Accessed September 20, 2024.</w:t>
      </w:r>
      <w:r>
        <w:t xml:space="preserve"> </w:t>
      </w:r>
      <w:hyperlink r:id="rId92">
        <w:r>
          <w:rPr>
            <w:rStyle w:val="Hyperlink"/>
          </w:rPr>
          <w:t xml:space="preserve">https://build.fhir.org/ig/FHIR/sql-on-fhir-v2/</w:t>
        </w:r>
      </w:hyperlink>
    </w:p>
    <w:bookmarkEnd w:id="93"/>
    <w:bookmarkStart w:id="95" w:name="ref-fhir-implementations"/>
    <w:p>
      <w:pPr>
        <w:pStyle w:val="Bibliography"/>
      </w:pPr>
      <w:r>
        <w:t xml:space="preserve">19.</w:t>
      </w:r>
      <w:r>
        <w:t xml:space="preserve"> </w:t>
      </w:r>
      <w:r>
        <w:t xml:space="preserve">	</w:t>
      </w:r>
      <w:r>
        <w:t xml:space="preserve">FHIR Open Source Implementations</w:t>
      </w:r>
      <w:r>
        <w:t xml:space="preserve">. September 20, 2024. Accessed September 20, 2024.</w:t>
      </w:r>
      <w:r>
        <w:t xml:space="preserve"> </w:t>
      </w:r>
      <w:hyperlink r:id="rId94">
        <w:r>
          <w:rPr>
            <w:rStyle w:val="Hyperlink"/>
          </w:rPr>
          <w:t xml:space="preserve">https://confluence.hl7.org/display/FHIR/Open+Source+Implementations</w:t>
        </w:r>
      </w:hyperlink>
    </w:p>
    <w:bookmarkEnd w:id="95"/>
    <w:bookmarkStart w:id="97" w:name="ref-ohdsi-implementations"/>
    <w:p>
      <w:pPr>
        <w:pStyle w:val="Bibliography"/>
      </w:pPr>
      <w:r>
        <w:t xml:space="preserve">20.</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96">
        <w:r>
          <w:rPr>
            <w:rStyle w:val="Hyperlink"/>
          </w:rPr>
          <w:t xml:space="preserve">https://www.ohdsi.org/software-tools/</w:t>
        </w:r>
      </w:hyperlink>
    </w:p>
    <w:bookmarkEnd w:id="97"/>
    <w:bookmarkStart w:id="99" w:name="ref-openehr-implementations"/>
    <w:p>
      <w:pPr>
        <w:pStyle w:val="Bibliography"/>
      </w:pPr>
      <w:r>
        <w:t xml:space="preserve">21.</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98">
        <w:r>
          <w:rPr>
            <w:rStyle w:val="Hyperlink"/>
          </w:rPr>
          <w:t xml:space="preserve">https://openehr.org/products_tools/platform/</w:t>
        </w:r>
      </w:hyperlink>
    </w:p>
    <w:bookmarkEnd w:id="99"/>
    <w:bookmarkStart w:id="101" w:name="ref-ehrbase"/>
    <w:p>
      <w:pPr>
        <w:pStyle w:val="Bibliography"/>
      </w:pPr>
      <w:r>
        <w:t xml:space="preserve">22.</w:t>
      </w:r>
      <w:r>
        <w:t xml:space="preserve"> </w:t>
      </w:r>
      <w:r>
        <w:t xml:space="preserve">	</w:t>
      </w:r>
      <w:r>
        <w:t xml:space="preserve">EHRbase</w:t>
      </w:r>
      <w:r>
        <w:t xml:space="preserve"> </w:t>
      </w:r>
      <w:r>
        <w:t xml:space="preserve">2.0 website. Published online March 19, 2024. Accessed September 20, 2024.</w:t>
      </w:r>
      <w:r>
        <w:t xml:space="preserve"> </w:t>
      </w:r>
      <w:hyperlink r:id="rId100">
        <w:r>
          <w:rPr>
            <w:rStyle w:val="Hyperlink"/>
          </w:rPr>
          <w:t xml:space="preserve">https://www.ehrbase.org/</w:t>
        </w:r>
      </w:hyperlink>
    </w:p>
    <w:bookmarkEnd w:id="101"/>
    <w:bookmarkStart w:id="103" w:name="ref-rieke2020future"/>
    <w:p>
      <w:pPr>
        <w:pStyle w:val="Bibliography"/>
      </w:pPr>
      <w:r>
        <w:t xml:space="preserve">23.</w:t>
      </w:r>
      <w:r>
        <w:t xml:space="preserve"> </w:t>
      </w:r>
      <w:r>
        <w:t xml:space="preserve">	</w:t>
      </w:r>
      <w:r>
        <w:t xml:space="preserve">Rieke N, Hancox J, Li W, et al. The future of digital health with federated learning.</w:t>
      </w:r>
      <w:r>
        <w:t xml:space="preserve"> </w:t>
      </w:r>
      <w:r>
        <w:rPr>
          <w:i/>
          <w:iCs/>
        </w:rPr>
        <w:t xml:space="preserve">npj Digit Med</w:t>
      </w:r>
      <w:r>
        <w:t xml:space="preserve">. 2020;3(1, 1):1-7. doi:</w:t>
      </w:r>
      <w:hyperlink r:id="rId102">
        <w:r>
          <w:rPr>
            <w:rStyle w:val="Hyperlink"/>
          </w:rPr>
          <w:t xml:space="preserve">10.1038/s41746-020-00323-1</w:t>
        </w:r>
      </w:hyperlink>
    </w:p>
    <w:bookmarkEnd w:id="103"/>
    <w:bookmarkStart w:id="105" w:name="ref-teo2024federated"/>
    <w:p>
      <w:pPr>
        <w:pStyle w:val="Bibliography"/>
      </w:pPr>
      <w:r>
        <w:t xml:space="preserve">24.</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
          <w:iCs/>
        </w:rPr>
        <w:t xml:space="preserve">Cell Reports Medicine</w:t>
      </w:r>
      <w:r>
        <w:t xml:space="preserve">. 2024;5(2):101419. doi:</w:t>
      </w:r>
      <w:hyperlink r:id="rId104">
        <w:r>
          <w:rPr>
            <w:rStyle w:val="Hyperlink"/>
          </w:rPr>
          <w:t xml:space="preserve">10.1016/j.xcrm.2024.101419</w:t>
        </w:r>
      </w:hyperlink>
    </w:p>
    <w:bookmarkEnd w:id="105"/>
    <w:bookmarkStart w:id="107" w:name="ref-plugin"/>
    <w:p>
      <w:pPr>
        <w:pStyle w:val="Bibliography"/>
      </w:pPr>
      <w:r>
        <w:t xml:space="preserve">25.</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106">
        <w:r>
          <w:rPr>
            <w:rStyle w:val="Hyperlink"/>
          </w:rPr>
          <w:t xml:space="preserve">https://plugin.healthcare/</w:t>
        </w:r>
      </w:hyperlink>
    </w:p>
    <w:bookmarkEnd w:id="107"/>
    <w:bookmarkStart w:id="109" w:name="ref-healthri2024agreements"/>
    <w:p>
      <w:pPr>
        <w:pStyle w:val="Bibliography"/>
      </w:pPr>
      <w:r>
        <w:t xml:space="preserve">26.</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08">
        <w:r>
          <w:rPr>
            <w:rStyle w:val="Hyperlink"/>
          </w:rPr>
          <w:t xml:space="preserve">https://health-ri.atlassian.net/wiki/spaces/HNG/pages/249073646/Agreements+on+the+National+Health+Data+Infrastructure+for+Research+Policy+and+Innovation</w:t>
        </w:r>
      </w:hyperlink>
    </w:p>
    <w:bookmarkEnd w:id="109"/>
    <w:bookmarkStart w:id="111" w:name="ref-khalid2021standardized"/>
    <w:p>
      <w:pPr>
        <w:pStyle w:val="Bibliography"/>
      </w:pPr>
      <w:r>
        <w:t xml:space="preserve">27.</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
          <w:iCs/>
        </w:rPr>
        <w:t xml:space="preserve">Computer Methods and Programs in Biomedicine</w:t>
      </w:r>
      <w:r>
        <w:t xml:space="preserve">. 2021;211:106394. doi:</w:t>
      </w:r>
      <w:hyperlink r:id="rId110">
        <w:r>
          <w:rPr>
            <w:rStyle w:val="Hyperlink"/>
          </w:rPr>
          <w:t xml:space="preserve">10.1016/j.cmpb.2021.106394</w:t>
        </w:r>
      </w:hyperlink>
    </w:p>
    <w:bookmarkEnd w:id="111"/>
    <w:bookmarkStart w:id="113" w:name="ref-lee2022feedernet"/>
    <w:p>
      <w:pPr>
        <w:pStyle w:val="Bibliography"/>
      </w:pPr>
      <w:r>
        <w:t xml:space="preserve">28.</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12">
        <w:r>
          <w:rPr>
            <w:rStyle w:val="Hyperlink"/>
          </w:rPr>
          <w:t xml:space="preserve">https://www.ohdsi.org/2022showcase-33/</w:t>
        </w:r>
      </w:hyperlink>
    </w:p>
    <w:bookmarkEnd w:id="113"/>
    <w:bookmarkStart w:id="115" w:name="ref-mateus2024data"/>
    <w:p>
      <w:pPr>
        <w:pStyle w:val="Bibliography"/>
      </w:pPr>
      <w:r>
        <w:t xml:space="preserve">29.</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
          <w:iCs/>
        </w:rPr>
        <w:t xml:space="preserve">Journal of Biomedical Informatics</w:t>
      </w:r>
      <w:r>
        <w:t xml:space="preserve">. 2024;155:104661. doi:</w:t>
      </w:r>
      <w:hyperlink r:id="rId114">
        <w:r>
          <w:rPr>
            <w:rStyle w:val="Hyperlink"/>
          </w:rPr>
          <w:t xml:space="preserve">10.1016/j.jbi.2024.104661</w:t>
        </w:r>
      </w:hyperlink>
    </w:p>
    <w:bookmarkEnd w:id="115"/>
    <w:bookmarkStart w:id="117" w:name="ref-kroes2022blueprint"/>
    <w:p>
      <w:pPr>
        <w:pStyle w:val="Bibliography"/>
      </w:pPr>
      <w:r>
        <w:t xml:space="preserve">30.</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
          <w:iCs/>
        </w:rPr>
        <w:t xml:space="preserve">ERJ Open Research</w:t>
      </w:r>
      <w:r>
        <w:t xml:space="preserve">. 2022;8(4). doi:</w:t>
      </w:r>
      <w:hyperlink r:id="rId116">
        <w:r>
          <w:rPr>
            <w:rStyle w:val="Hyperlink"/>
          </w:rPr>
          <w:t xml:space="preserve">10.1183/23120541.00168-2022</w:t>
        </w:r>
      </w:hyperlink>
    </w:p>
    <w:bookmarkEnd w:id="117"/>
    <w:bookmarkStart w:id="119" w:name="ref-deltomme2024federated"/>
    <w:p>
      <w:pPr>
        <w:pStyle w:val="Bibliography"/>
      </w:pPr>
      <w:r>
        <w:t xml:space="preserve">31.</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18">
        <w:r>
          <w:rPr>
            <w:rStyle w:val="Hyperlink"/>
          </w:rPr>
          <w:t xml:space="preserve">https://www.ohdsi-europe.org/images/symposium-2024/Posters/poster%20OHDSI%20FHIN%20Camille%20Deltomme%20-%20Camille%20Deltomme.pdf</w:t>
        </w:r>
      </w:hyperlink>
    </w:p>
    <w:bookmarkEnd w:id="119"/>
    <w:bookmarkStart w:id="121" w:name="ref-moncada-torres2021vantage6"/>
    <w:p>
      <w:pPr>
        <w:pStyle w:val="Bibliography"/>
      </w:pPr>
      <w:r>
        <w:t xml:space="preserve">32.</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
          <w:iCs/>
        </w:rPr>
        <w:t xml:space="preserve">AMIA Annu Symp Proc</w:t>
      </w:r>
      <w:r>
        <w:t xml:space="preserve">. 2021;2020:870-877. Accessed September 21, 2024.</w:t>
      </w:r>
      <w:r>
        <w:t xml:space="preserve"> </w:t>
      </w:r>
      <w:hyperlink r:id="rId120">
        <w:r>
          <w:rPr>
            <w:rStyle w:val="Hyperlink"/>
          </w:rPr>
          <w:t xml:space="preserve">https://www.ncbi.nlm.nih.gov/pmc/articles/PMC8075508/</w:t>
        </w:r>
      </w:hyperlink>
    </w:p>
    <w:bookmarkEnd w:id="121"/>
    <w:bookmarkStart w:id="123" w:name="ref-choudhury2020personal"/>
    <w:p>
      <w:pPr>
        <w:pStyle w:val="Bibliography"/>
      </w:pPr>
      <w:r>
        <w:t xml:space="preserve">33.</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
          <w:iCs/>
        </w:rPr>
        <w:t xml:space="preserve">Machine</w:t>
      </w:r>
      <w:r>
        <w:rPr>
          <w:i/>
          <w:iCs/>
        </w:rPr>
        <w:t xml:space="preserve"> </w:t>
      </w:r>
      <w:r>
        <w:rPr>
          <w:i/>
          <w:iCs/>
        </w:rPr>
        <w:t xml:space="preserve">Learning</w:t>
      </w:r>
      <w:r>
        <w:rPr>
          <w:i/>
          <w:iCs/>
        </w:rPr>
        <w:t xml:space="preserve">,</w:t>
      </w:r>
      <w:r>
        <w:rPr>
          <w:i/>
          <w:iCs/>
        </w:rPr>
        <w:t xml:space="preserve"> </w:t>
      </w:r>
      <w:r>
        <w:rPr>
          <w:i/>
          <w:iCs/>
        </w:rPr>
        <w:t xml:space="preserve">Image Processing</w:t>
      </w:r>
      <w:r>
        <w:rPr>
          <w:i/>
          <w:iCs/>
        </w:rPr>
        <w:t xml:space="preserve">,</w:t>
      </w:r>
      <w:r>
        <w:rPr>
          <w:i/>
          <w:iCs/>
        </w:rPr>
        <w:t xml:space="preserve"> </w:t>
      </w:r>
      <w:r>
        <w:rPr>
          <w:i/>
          <w:iCs/>
        </w:rPr>
        <w:t xml:space="preserve">Network Security</w:t>
      </w:r>
      <w:r>
        <w:rPr>
          <w:i/>
          <w:iCs/>
        </w:rPr>
        <w:t xml:space="preserve"> </w:t>
      </w:r>
      <w:r>
        <w:rPr>
          <w:i/>
          <w:iCs/>
        </w:rPr>
        <w:t xml:space="preserve">and</w:t>
      </w:r>
      <w:r>
        <w:rPr>
          <w:i/>
          <w:iCs/>
        </w:rPr>
        <w:t xml:space="preserve"> </w:t>
      </w:r>
      <w:r>
        <w:rPr>
          <w:i/>
          <w:iCs/>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22">
        <w:r>
          <w:rPr>
            <w:rStyle w:val="Hyperlink"/>
          </w:rPr>
          <w:t xml:space="preserve">10.1007/978-981-15-6315-7_7</w:t>
        </w:r>
      </w:hyperlink>
    </w:p>
    <w:bookmarkEnd w:id="123"/>
    <w:bookmarkStart w:id="125" w:name="ref-smits2022improved"/>
    <w:p>
      <w:pPr>
        <w:pStyle w:val="Bibliography"/>
      </w:pPr>
      <w:r>
        <w:t xml:space="preserve">34.</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
          <w:iCs/>
        </w:rPr>
        <w:t xml:space="preserve">Studies in</w:t>
      </w:r>
      <w:r>
        <w:rPr>
          <w:i/>
          <w:iCs/>
        </w:rPr>
        <w:t xml:space="preserve"> </w:t>
      </w:r>
      <w:r>
        <w:rPr>
          <w:i/>
          <w:iCs/>
        </w:rPr>
        <w:t xml:space="preserve">Health Technology</w:t>
      </w:r>
      <w:r>
        <w:rPr>
          <w:i/>
          <w:iCs/>
        </w:rPr>
        <w:t xml:space="preserve"> </w:t>
      </w:r>
      <w:r>
        <w:rPr>
          <w:i/>
          <w:iCs/>
        </w:rPr>
        <w:t xml:space="preserve">and</w:t>
      </w:r>
      <w:r>
        <w:rPr>
          <w:i/>
          <w:iCs/>
        </w:rPr>
        <w:t xml:space="preserve"> </w:t>
      </w:r>
      <w:r>
        <w:rPr>
          <w:i/>
          <w:iCs/>
        </w:rPr>
        <w:t xml:space="preserve">Informatics</w:t>
      </w:r>
      <w:r>
        <w:t xml:space="preserve">. IOS Press; 2022. doi:</w:t>
      </w:r>
      <w:hyperlink r:id="rId124">
        <w:r>
          <w:rPr>
            <w:rStyle w:val="Hyperlink"/>
          </w:rPr>
          <w:t xml:space="preserve">10.3233/SHTI220682</w:t>
        </w:r>
      </w:hyperlink>
    </w:p>
    <w:bookmarkEnd w:id="125"/>
    <w:bookmarkStart w:id="127" w:name="ref-duda2022hl7"/>
    <w:p>
      <w:pPr>
        <w:pStyle w:val="Bibliography"/>
      </w:pPr>
      <w:r>
        <w:t xml:space="preserve">35.</w:t>
      </w:r>
      <w:r>
        <w:t xml:space="preserve"> </w:t>
      </w:r>
      <w:r>
        <w:t xml:space="preserve">	</w:t>
      </w:r>
      <w:r>
        <w:t xml:space="preserve">Duda SN, Kennedy N, Conway D, et al.</w:t>
      </w:r>
      <w:r>
        <w:t xml:space="preserve"> </w:t>
      </w:r>
      <w:r>
        <w:t xml:space="preserve">HL7 FHIR-based</w:t>
      </w:r>
      <w:r>
        <w:t xml:space="preserve"> </w:t>
      </w:r>
      <w:r>
        <w:t xml:space="preserve">tools and initiatives to support clinical research: A scoping review.</w:t>
      </w:r>
      <w:r>
        <w:t xml:space="preserve"> </w:t>
      </w:r>
      <w:r>
        <w:rPr>
          <w:i/>
          <w:iCs/>
        </w:rPr>
        <w:t xml:space="preserve">Journal of the American Medical Informatics Association</w:t>
      </w:r>
      <w:r>
        <w:t xml:space="preserve">. 2022;29(9):1642-1653. doi:</w:t>
      </w:r>
      <w:hyperlink r:id="rId126">
        <w:r>
          <w:rPr>
            <w:rStyle w:val="Hyperlink"/>
          </w:rPr>
          <w:t xml:space="preserve">10.1093/jamia/ocac105</w:t>
        </w:r>
      </w:hyperlink>
    </w:p>
    <w:bookmarkEnd w:id="127"/>
    <w:bookmarkStart w:id="129" w:name="ref-mullie2023coda"/>
    <w:p>
      <w:pPr>
        <w:pStyle w:val="Bibliography"/>
      </w:pPr>
      <w:r>
        <w:t xml:space="preserve">36.</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
          <w:iCs/>
        </w:rPr>
        <w:t xml:space="preserve">Journal of the American Medical Informatics Association</w:t>
      </w:r>
      <w:r>
        <w:t xml:space="preserve">. Published online December 21, 2023:ocad235. doi:</w:t>
      </w:r>
      <w:hyperlink r:id="rId128">
        <w:r>
          <w:rPr>
            <w:rStyle w:val="Hyperlink"/>
          </w:rPr>
          <w:t xml:space="preserve">10.1093/jamia/ocad235</w:t>
        </w:r>
      </w:hyperlink>
    </w:p>
    <w:bookmarkEnd w:id="129"/>
    <w:bookmarkStart w:id="131" w:name="ref-sinaci2024privacypreserving"/>
    <w:p>
      <w:pPr>
        <w:pStyle w:val="Bibliography"/>
      </w:pPr>
      <w:r>
        <w:t xml:space="preserve">37.</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
          <w:iCs/>
        </w:rPr>
        <w:t xml:space="preserve">Computational and Structural Biotechnology Journal</w:t>
      </w:r>
      <w:r>
        <w:t xml:space="preserve">. 2024;24:136-145. doi:</w:t>
      </w:r>
      <w:hyperlink r:id="rId130">
        <w:r>
          <w:rPr>
            <w:rStyle w:val="Hyperlink"/>
          </w:rPr>
          <w:t xml:space="preserve">10.1016/j.csbj.2024.02.014</w:t>
        </w:r>
      </w:hyperlink>
    </w:p>
    <w:bookmarkEnd w:id="131"/>
    <w:bookmarkStart w:id="133" w:name="ref-gruendner2019ketos"/>
    <w:p>
      <w:pPr>
        <w:pStyle w:val="Bibliography"/>
      </w:pPr>
      <w:r>
        <w:t xml:space="preserve">38.</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
          <w:iCs/>
        </w:rPr>
        <w:t xml:space="preserve">PLOS ONE</w:t>
      </w:r>
      <w:r>
        <w:t xml:space="preserve">. 2019;14(10):e0223010. doi:</w:t>
      </w:r>
      <w:hyperlink r:id="rId132">
        <w:r>
          <w:rPr>
            <w:rStyle w:val="Hyperlink"/>
          </w:rPr>
          <w:t xml:space="preserve">10.1371/journal.pone.0223010</w:t>
        </w:r>
      </w:hyperlink>
    </w:p>
    <w:bookmarkEnd w:id="133"/>
    <w:bookmarkStart w:id="135" w:name="ref-cremonesi2023need"/>
    <w:p>
      <w:pPr>
        <w:pStyle w:val="Bibliography"/>
      </w:pPr>
      <w:r>
        <w:t xml:space="preserve">39.</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
          <w:iCs/>
        </w:rPr>
        <w:t xml:space="preserve">Journal of Biomedical Informatics</w:t>
      </w:r>
      <w:r>
        <w:t xml:space="preserve">. 2023;141:104338. doi:</w:t>
      </w:r>
      <w:hyperlink r:id="rId134">
        <w:r>
          <w:rPr>
            <w:rStyle w:val="Hyperlink"/>
          </w:rPr>
          <w:t xml:space="preserve">10.1016/j.jbi.2023.104338</w:t>
        </w:r>
      </w:hyperlink>
    </w:p>
    <w:bookmarkEnd w:id="135"/>
    <w:bookmarkStart w:id="137" w:name="ref-peng2023etlprocess"/>
    <w:p>
      <w:pPr>
        <w:pStyle w:val="Bibliography"/>
      </w:pPr>
      <w:r>
        <w:t xml:space="preserve">40.</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
          <w:iCs/>
        </w:rPr>
        <w:t xml:space="preserve">International Journal of Medical Informatics</w:t>
      </w:r>
      <w:r>
        <w:t xml:space="preserve">. 2023;169:104925. doi:</w:t>
      </w:r>
      <w:hyperlink r:id="rId136">
        <w:r>
          <w:rPr>
            <w:rStyle w:val="Hyperlink"/>
          </w:rPr>
          <w:t xml:space="preserve">10.1016/j.ijmedinf.2022.104925</w:t>
        </w:r>
      </w:hyperlink>
    </w:p>
    <w:bookmarkEnd w:id="137"/>
    <w:bookmarkStart w:id="139" w:name="ref-omoponfhir"/>
    <w:p>
      <w:pPr>
        <w:pStyle w:val="Bibliography"/>
      </w:pPr>
      <w:r>
        <w:t xml:space="preserve">41.</w:t>
      </w:r>
      <w:r>
        <w:t xml:space="preserve"> </w:t>
      </w:r>
      <w:r>
        <w:t xml:space="preserve">	</w:t>
      </w:r>
      <w:r>
        <w:t xml:space="preserve">OMOPonFHIR</w:t>
      </w:r>
      <w:r>
        <w:t xml:space="preserve">. Accessed September 20, 2024.</w:t>
      </w:r>
      <w:r>
        <w:t xml:space="preserve"> </w:t>
      </w:r>
      <w:hyperlink r:id="rId138">
        <w:r>
          <w:rPr>
            <w:rStyle w:val="Hyperlink"/>
          </w:rPr>
          <w:t xml:space="preserve">https://omoponfhir.org/</w:t>
        </w:r>
      </w:hyperlink>
    </w:p>
    <w:bookmarkEnd w:id="139"/>
    <w:bookmarkStart w:id="141" w:name="ref-hai2023data"/>
    <w:p>
      <w:pPr>
        <w:pStyle w:val="Bibliography"/>
      </w:pPr>
      <w:r>
        <w:t xml:space="preserve">42.</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
          <w:iCs/>
        </w:rPr>
        <w:t xml:space="preserve">IEEE Transactions on Knowledge and Data Engineering</w:t>
      </w:r>
      <w:r>
        <w:t xml:space="preserve">. 2023;35(12):12571-12590. doi:</w:t>
      </w:r>
      <w:hyperlink r:id="rId140">
        <w:r>
          <w:rPr>
            <w:rStyle w:val="Hyperlink"/>
          </w:rPr>
          <w:t xml:space="preserve">10.1109/TKDE.2023.3270101</w:t>
        </w:r>
      </w:hyperlink>
    </w:p>
    <w:bookmarkEnd w:id="141"/>
    <w:bookmarkStart w:id="143" w:name="ref-harby2022data"/>
    <w:p>
      <w:pPr>
        <w:pStyle w:val="Bibliography"/>
      </w:pPr>
      <w:r>
        <w:t xml:space="preserve">43.</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
          <w:iCs/>
        </w:rPr>
        <w:t xml:space="preserve">2022</w:t>
      </w:r>
      <w:r>
        <w:rPr>
          <w:i/>
          <w:iCs/>
        </w:rPr>
        <w:t xml:space="preserve"> </w:t>
      </w:r>
      <w:r>
        <w:rPr>
          <w:i/>
          <w:iCs/>
        </w:rPr>
        <w:t xml:space="preserve">IEEE International Conference</w:t>
      </w:r>
      <w:r>
        <w:rPr>
          <w:i/>
          <w:iCs/>
        </w:rPr>
        <w:t xml:space="preserve"> </w:t>
      </w:r>
      <w:r>
        <w:rPr>
          <w:i/>
          <w:iCs/>
        </w:rPr>
        <w:t xml:space="preserve">on</w:t>
      </w:r>
      <w:r>
        <w:rPr>
          <w:i/>
          <w:iCs/>
        </w:rPr>
        <w:t xml:space="preserve"> </w:t>
      </w:r>
      <w:r>
        <w:rPr>
          <w:i/>
          <w:iCs/>
        </w:rPr>
        <w:t xml:space="preserve">Big Data</w:t>
      </w:r>
      <w:r>
        <w:rPr>
          <w:i/>
          <w:iCs/>
        </w:rPr>
        <w:t xml:space="preserve"> </w:t>
      </w:r>
      <w:r>
        <w:rPr>
          <w:i/>
          <w:iCs/>
        </w:rPr>
        <w:t xml:space="preserve">(</w:t>
      </w:r>
      <w:r>
        <w:rPr>
          <w:i/>
          <w:iCs/>
        </w:rPr>
        <w:t xml:space="preserve">Big Data</w:t>
      </w:r>
      <w:r>
        <w:rPr>
          <w:i/>
          <w:iCs/>
        </w:rPr>
        <w:t xml:space="preserve">)</w:t>
      </w:r>
      <w:r>
        <w:t xml:space="preserve">. IEEE; 2022:389-395. doi:</w:t>
      </w:r>
      <w:hyperlink r:id="rId142">
        <w:r>
          <w:rPr>
            <w:rStyle w:val="Hyperlink"/>
          </w:rPr>
          <w:t xml:space="preserve">10.1109/BigData55660.2022.10020719</w:t>
        </w:r>
      </w:hyperlink>
    </w:p>
    <w:bookmarkEnd w:id="143"/>
    <w:bookmarkStart w:id="145" w:name="ref-harby2024data"/>
    <w:p>
      <w:pPr>
        <w:pStyle w:val="Bibliography"/>
      </w:pPr>
      <w:r>
        <w:t xml:space="preserve">44.</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44">
        <w:r>
          <w:rPr>
            <w:rStyle w:val="Hyperlink"/>
          </w:rPr>
          <w:t xml:space="preserve">10.2139/ssrn.4765588</w:t>
        </w:r>
      </w:hyperlink>
    </w:p>
    <w:bookmarkEnd w:id="145"/>
    <w:bookmarkStart w:id="147" w:name="ref-pedreira2023composable"/>
    <w:p>
      <w:pPr>
        <w:pStyle w:val="Bibliography"/>
      </w:pPr>
      <w:r>
        <w:t xml:space="preserve">45.</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
          <w:iCs/>
        </w:rPr>
        <w:t xml:space="preserve">Proc VLDB Endow</w:t>
      </w:r>
      <w:r>
        <w:t xml:space="preserve">. 2023;16(10):2679-2685. doi:</w:t>
      </w:r>
      <w:hyperlink r:id="rId146">
        <w:r>
          <w:rPr>
            <w:rStyle w:val="Hyperlink"/>
          </w:rPr>
          <w:t xml:space="preserve">10.14778/3603581.3603604</w:t>
        </w:r>
      </w:hyperlink>
    </w:p>
    <w:bookmarkEnd w:id="147"/>
    <w:bookmarkStart w:id="148" w:name="ref-armbrust2021lakehouse"/>
    <w:p>
      <w:pPr>
        <w:pStyle w:val="Bibliography"/>
      </w:pPr>
      <w:r>
        <w:t xml:space="preserve">46.</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48"/>
    <w:bookmarkStart w:id="150" w:name="ref-apache-arrow"/>
    <w:p>
      <w:pPr>
        <w:pStyle w:val="Bibliography"/>
      </w:pPr>
      <w:r>
        <w:t xml:space="preserve">47.</w:t>
      </w:r>
      <w:r>
        <w:t xml:space="preserve"> </w:t>
      </w:r>
      <w:r>
        <w:t xml:space="preserve">	</w:t>
      </w:r>
      <w:r>
        <w:rPr>
          <w:i/>
          <w:iCs/>
        </w:rPr>
        <w:t xml:space="preserve">Apache</w:t>
      </w:r>
      <w:r>
        <w:rPr>
          <w:i/>
          <w:iCs/>
        </w:rPr>
        <w:t xml:space="preserve"> </w:t>
      </w:r>
      <w:r>
        <w:rPr>
          <w:i/>
          <w:iCs/>
        </w:rPr>
        <w:t xml:space="preserve">Arrow</w:t>
      </w:r>
      <w:r>
        <w:t xml:space="preserve">.; 2024. Accessed September 20, 2024.</w:t>
      </w:r>
      <w:r>
        <w:t xml:space="preserve"> </w:t>
      </w:r>
      <w:hyperlink r:id="rId149">
        <w:r>
          <w:rPr>
            <w:rStyle w:val="Hyperlink"/>
          </w:rPr>
          <w:t xml:space="preserve">https://arrow.apache.org/</w:t>
        </w:r>
      </w:hyperlink>
    </w:p>
    <w:bookmarkEnd w:id="150"/>
    <w:bookmarkStart w:id="152" w:name="ref-apache-parquet"/>
    <w:p>
      <w:pPr>
        <w:pStyle w:val="Bibliography"/>
      </w:pPr>
      <w:r>
        <w:t xml:space="preserve">48.</w:t>
      </w:r>
      <w:r>
        <w:t xml:space="preserve"> </w:t>
      </w:r>
      <w:r>
        <w:t xml:space="preserve">	</w:t>
      </w:r>
      <w:r>
        <w:rPr>
          <w:i/>
          <w:iCs/>
        </w:rPr>
        <w:t xml:space="preserve">Apache</w:t>
      </w:r>
      <w:r>
        <w:rPr>
          <w:i/>
          <w:iCs/>
        </w:rPr>
        <w:t xml:space="preserve"> </w:t>
      </w:r>
      <w:r>
        <w:rPr>
          <w:i/>
          <w:iCs/>
        </w:rPr>
        <w:t xml:space="preserve">Parquet</w:t>
      </w:r>
      <w:r>
        <w:t xml:space="preserve">.; 2024. Accessed September 20, 2024.</w:t>
      </w:r>
      <w:r>
        <w:t xml:space="preserve"> </w:t>
      </w:r>
      <w:hyperlink r:id="rId151">
        <w:r>
          <w:rPr>
            <w:rStyle w:val="Hyperlink"/>
          </w:rPr>
          <w:t xml:space="preserve">https://parquet.apache.org/</w:t>
        </w:r>
      </w:hyperlink>
    </w:p>
    <w:bookmarkEnd w:id="152"/>
    <w:bookmarkStart w:id="153" w:name="ref-jain2023analyzing"/>
    <w:p>
      <w:pPr>
        <w:pStyle w:val="Bibliography"/>
      </w:pPr>
      <w:r>
        <w:t xml:space="preserve">49.</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53"/>
    <w:bookmarkStart w:id="155" w:name="ref-apache-iceberg"/>
    <w:p>
      <w:pPr>
        <w:pStyle w:val="Bibliography"/>
      </w:pPr>
      <w:r>
        <w:t xml:space="preserve">50.</w:t>
      </w:r>
      <w:r>
        <w:t xml:space="preserve"> </w:t>
      </w:r>
      <w:r>
        <w:t xml:space="preserve">	</w:t>
      </w:r>
      <w:r>
        <w:rPr>
          <w:i/>
          <w:iCs/>
        </w:rPr>
        <w:t xml:space="preserve">Apache</w:t>
      </w:r>
      <w:r>
        <w:rPr>
          <w:i/>
          <w:iCs/>
        </w:rPr>
        <w:t xml:space="preserve"> </w:t>
      </w:r>
      <w:r>
        <w:rPr>
          <w:i/>
          <w:iCs/>
        </w:rPr>
        <w:t xml:space="preserve">Iceberg</w:t>
      </w:r>
      <w:r>
        <w:t xml:space="preserve">. Accessed September 20, 2024.</w:t>
      </w:r>
      <w:r>
        <w:t xml:space="preserve"> </w:t>
      </w:r>
      <w:hyperlink r:id="rId154">
        <w:r>
          <w:rPr>
            <w:rStyle w:val="Hyperlink"/>
          </w:rPr>
          <w:t xml:space="preserve">https://iceberg.apache.org/</w:t>
        </w:r>
      </w:hyperlink>
    </w:p>
    <w:bookmarkEnd w:id="155"/>
    <w:bookmarkStart w:id="157" w:name="ref-duckdb"/>
    <w:p>
      <w:pPr>
        <w:pStyle w:val="Bibliography"/>
      </w:pPr>
      <w:r>
        <w:t xml:space="preserve">51.</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56">
        <w:r>
          <w:rPr>
            <w:rStyle w:val="Hyperlink"/>
          </w:rPr>
          <w:t xml:space="preserve">https://duckdb.org/</w:t>
        </w:r>
      </w:hyperlink>
    </w:p>
    <w:bookmarkEnd w:id="157"/>
    <w:bookmarkStart w:id="159" w:name="ref-karamagi2022ehealth"/>
    <w:p>
      <w:pPr>
        <w:pStyle w:val="Bibliography"/>
      </w:pPr>
      <w:r>
        <w:t xml:space="preserve">52.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
          <w:iCs/>
        </w:rPr>
        <w:t xml:space="preserve">J Glob Health</w:t>
      </w:r>
      <w:r>
        <w:t xml:space="preserve">. 2022;12:04090. doi:</w:t>
      </w:r>
      <w:hyperlink r:id="rId158">
        <w:r>
          <w:rPr>
            <w:rStyle w:val="Hyperlink"/>
          </w:rPr>
          <w:t xml:space="preserve">10.7189/jogh.12.04090</w:t>
        </w:r>
      </w:hyperlink>
    </w:p>
    <w:bookmarkEnd w:id="159"/>
    <w:bookmarkStart w:id="161" w:name="ref-openhie"/>
    <w:p>
      <w:pPr>
        <w:pStyle w:val="Bibliography"/>
      </w:pPr>
      <w:r>
        <w:t xml:space="preserve">53.</w:t>
      </w:r>
      <w:r>
        <w:t xml:space="preserve"> </w:t>
      </w:r>
      <w:r>
        <w:t xml:space="preserve">	</w:t>
      </w:r>
      <w:r>
        <w:rPr>
          <w:i/>
          <w:iCs/>
        </w:rPr>
        <w:t xml:space="preserve">OpenHIE Framework</w:t>
      </w:r>
      <w:r>
        <w:rPr>
          <w:i/>
          <w:iCs/>
        </w:rPr>
        <w:t xml:space="preserve"> </w:t>
      </w:r>
      <w:r>
        <w:rPr>
          <w:i/>
          <w:iCs/>
        </w:rPr>
        <w:t xml:space="preserve">V5.2-En</w:t>
      </w:r>
      <w:r>
        <w:t xml:space="preserve">.; 2024. Accessed August 27, 2024.</w:t>
      </w:r>
      <w:r>
        <w:t xml:space="preserve"> </w:t>
      </w:r>
      <w:hyperlink r:id="rId160">
        <w:r>
          <w:rPr>
            <w:rStyle w:val="Hyperlink"/>
          </w:rPr>
          <w:t xml:space="preserve">https://ohie.org/</w:t>
        </w:r>
      </w:hyperlink>
    </w:p>
    <w:bookmarkEnd w:id="161"/>
    <w:bookmarkStart w:id="163" w:name="ref-mamuye2022health"/>
    <w:p>
      <w:pPr>
        <w:pStyle w:val="Bibliography"/>
      </w:pPr>
      <w:r>
        <w:t xml:space="preserve">54.</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
          <w:iCs/>
        </w:rPr>
        <w:t xml:space="preserve">PLOS Digital Health</w:t>
      </w:r>
      <w:r>
        <w:t xml:space="preserve">. 2022;1(10):e0000118. doi:</w:t>
      </w:r>
      <w:hyperlink r:id="rId162">
        <w:r>
          <w:rPr>
            <w:rStyle w:val="Hyperlink"/>
          </w:rPr>
          <w:t xml:space="preserve">10.1371/journal.pdig.0000118</w:t>
        </w:r>
      </w:hyperlink>
    </w:p>
    <w:bookmarkEnd w:id="163"/>
    <w:bookmarkStart w:id="165" w:name="ref-dalhatu2023paper"/>
    <w:p>
      <w:pPr>
        <w:pStyle w:val="Bibliography"/>
      </w:pPr>
      <w:r>
        <w:t xml:space="preserve">55.</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
          <w:iCs/>
        </w:rPr>
        <w:t xml:space="preserve">Methods Inf Med</w:t>
      </w:r>
      <w:r>
        <w:t xml:space="preserve">. 2023;62(03/04):130-139. doi:</w:t>
      </w:r>
      <w:hyperlink r:id="rId164">
        <w:r>
          <w:rPr>
            <w:rStyle w:val="Hyperlink"/>
          </w:rPr>
          <w:t xml:space="preserve">10.1055/s-0043-1768711</w:t>
        </w:r>
      </w:hyperlink>
    </w:p>
    <w:bookmarkEnd w:id="165"/>
    <w:bookmarkStart w:id="166" w:name="ref-thaiya2021adoption"/>
    <w:p>
      <w:pPr>
        <w:pStyle w:val="Bibliography"/>
      </w:pPr>
      <w:r>
        <w:t xml:space="preserve">56.</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
          <w:iCs/>
        </w:rPr>
        <w:t xml:space="preserve">IOSR-JCE</w:t>
      </w:r>
      <w:r>
        <w:t xml:space="preserve">. 2021;23(2):45-50.</w:t>
      </w:r>
    </w:p>
    <w:bookmarkEnd w:id="166"/>
    <w:bookmarkStart w:id="168" w:name="ref-nsaghurwe2021one"/>
    <w:p>
      <w:pPr>
        <w:pStyle w:val="Bibliography"/>
      </w:pPr>
      <w:r>
        <w:t xml:space="preserve">57.</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
          <w:iCs/>
        </w:rPr>
        <w:t xml:space="preserve">BMC Medical Informatics and Decision Making</w:t>
      </w:r>
      <w:r>
        <w:t xml:space="preserve">. 2021;21(1):139. doi:</w:t>
      </w:r>
      <w:hyperlink r:id="rId167">
        <w:r>
          <w:rPr>
            <w:rStyle w:val="Hyperlink"/>
          </w:rPr>
          <w:t xml:space="preserve">10.1186/s12911-021-01499-6</w:t>
        </w:r>
      </w:hyperlink>
    </w:p>
    <w:bookmarkEnd w:id="168"/>
    <w:bookmarkStart w:id="170" w:name="ref-hapi-fhir"/>
    <w:p>
      <w:pPr>
        <w:pStyle w:val="Bibliography"/>
      </w:pPr>
      <w:r>
        <w:t xml:space="preserve">58.</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69">
        <w:r>
          <w:rPr>
            <w:rStyle w:val="Hyperlink"/>
          </w:rPr>
          <w:t xml:space="preserve">https://hapifhir.io/</w:t>
        </w:r>
      </w:hyperlink>
    </w:p>
    <w:bookmarkEnd w:id="170"/>
    <w:bookmarkStart w:id="172" w:name="ref-syzdykova2017opensource"/>
    <w:p>
      <w:pPr>
        <w:pStyle w:val="Bibliography"/>
      </w:pPr>
      <w:r>
        <w:t xml:space="preserve">59.</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
          <w:iCs/>
        </w:rPr>
        <w:t xml:space="preserve">JMIR Medical Informatics</w:t>
      </w:r>
      <w:r>
        <w:t xml:space="preserve">. 2017;5(4):e44. doi:</w:t>
      </w:r>
      <w:hyperlink r:id="rId171">
        <w:r>
          <w:rPr>
            <w:rStyle w:val="Hyperlink"/>
          </w:rPr>
          <w:t xml:space="preserve">10.2196/medinform.8131</w:t>
        </w:r>
      </w:hyperlink>
    </w:p>
    <w:bookmarkEnd w:id="172"/>
    <w:bookmarkStart w:id="174" w:name="ref-mehl2020open"/>
    <w:p>
      <w:pPr>
        <w:pStyle w:val="Bibliography"/>
      </w:pPr>
      <w:r>
        <w:t xml:space="preserve">60.</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
          <w:iCs/>
        </w:rPr>
        <w:t xml:space="preserve">OpenSRP</w:t>
      </w:r>
      <w:r>
        <w:t xml:space="preserve">. 2020;5:42-43. Accessed January 21, 2023.</w:t>
      </w:r>
      <w:r>
        <w:t xml:space="preserve"> </w:t>
      </w:r>
      <w:hyperlink r:id="rId173">
        <w:r>
          <w:rPr>
            <w:rStyle w:val="Hyperlink"/>
          </w:rPr>
          <w:t xml:space="preserve">https://lib.digitalsquare.io/handle/123456789/77592</w:t>
        </w:r>
      </w:hyperlink>
    </w:p>
    <w:bookmarkEnd w:id="174"/>
    <w:bookmarkStart w:id="176" w:name="ref-open-health-stack"/>
    <w:p>
      <w:pPr>
        <w:pStyle w:val="Bibliography"/>
      </w:pPr>
      <w:r>
        <w:t xml:space="preserve">61.</w:t>
      </w:r>
      <w:r>
        <w:t xml:space="preserve"> </w:t>
      </w:r>
      <w:r>
        <w:t xml:space="preserve">	</w:t>
      </w:r>
      <w:r>
        <w:t xml:space="preserve">Open</w:t>
      </w:r>
      <w:r>
        <w:t xml:space="preserve"> </w:t>
      </w:r>
      <w:r>
        <w:t xml:space="preserve">Health Stack</w:t>
      </w:r>
      <w:r>
        <w:t xml:space="preserve">. Accessed September 20, 2024.</w:t>
      </w:r>
      <w:r>
        <w:t xml:space="preserve"> </w:t>
      </w:r>
      <w:hyperlink r:id="rId175">
        <w:r>
          <w:rPr>
            <w:rStyle w:val="Hyperlink"/>
          </w:rPr>
          <w:t xml:space="preserve">https://developers.google.com/open-health-stack</w:t>
        </w:r>
      </w:hyperlink>
    </w:p>
    <w:bookmarkEnd w:id="176"/>
    <w:bookmarkStart w:id="178" w:name="X832d973b1344ca109e326dc1e2806e4addac434"/>
    <w:p>
      <w:pPr>
        <w:pStyle w:val="Bibliography"/>
      </w:pPr>
      <w:r>
        <w:t xml:space="preserve">62.</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77">
        <w:r>
          <w:rPr>
            <w:rStyle w:val="Hyperlink"/>
          </w:rPr>
          <w:t xml:space="preserve">https://www.sid-indonesia.org/post/bunda-app</w:t>
        </w:r>
      </w:hyperlink>
    </w:p>
    <w:bookmarkEnd w:id="178"/>
    <w:bookmarkStart w:id="180" w:name="ref-kurniawan2019midwife"/>
    <w:p>
      <w:pPr>
        <w:pStyle w:val="Bibliography"/>
      </w:pPr>
      <w:r>
        <w:t xml:space="preserve">63.</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79">
        <w:r>
          <w:rPr>
            <w:rStyle w:val="Hyperlink"/>
          </w:rPr>
          <w:t xml:space="preserve">10.2991/ichs-18.2019.21</w:t>
        </w:r>
      </w:hyperlink>
    </w:p>
    <w:bookmarkEnd w:id="180"/>
    <w:bookmarkStart w:id="182" w:name="ref-beda-emr"/>
    <w:p>
      <w:pPr>
        <w:pStyle w:val="Bibliography"/>
      </w:pPr>
      <w:r>
        <w:t xml:space="preserve">64.</w:t>
      </w:r>
      <w:r>
        <w:t xml:space="preserve"> </w:t>
      </w:r>
      <w:r>
        <w:t xml:space="preserve">	</w:t>
      </w:r>
      <w:r>
        <w:t xml:space="preserve">Beda</w:t>
      </w:r>
      <w:r>
        <w:t xml:space="preserve"> </w:t>
      </w:r>
      <w:r>
        <w:t xml:space="preserve">EMR</w:t>
      </w:r>
      <w:r>
        <w:t xml:space="preserve">. Accessed December 30, 2024.</w:t>
      </w:r>
      <w:r>
        <w:t xml:space="preserve"> </w:t>
      </w:r>
      <w:hyperlink r:id="rId181">
        <w:r>
          <w:rPr>
            <w:rStyle w:val="Hyperlink"/>
          </w:rPr>
          <w:t xml:space="preserve">https://beda.software/emr</w:t>
        </w:r>
      </w:hyperlink>
    </w:p>
    <w:bookmarkEnd w:id="182"/>
    <w:bookmarkStart w:id="184" w:name="ref-fhirconnectspec"/>
    <w:p>
      <w:pPr>
        <w:pStyle w:val="Bibliography"/>
      </w:pPr>
      <w:r>
        <w:t xml:space="preserve">65.</w:t>
      </w:r>
      <w:r>
        <w:t xml:space="preserve"> </w:t>
      </w:r>
      <w:r>
        <w:t xml:space="preserve">	</w:t>
      </w:r>
      <w:r>
        <w:t xml:space="preserve">FHIR Connect</w:t>
      </w:r>
      <w:r>
        <w:t xml:space="preserve"> </w:t>
      </w:r>
      <w:r>
        <w:t xml:space="preserve">specfication. Published online October 10, 2024. Accessed February 4, 2025.</w:t>
      </w:r>
      <w:r>
        <w:t xml:space="preserve"> </w:t>
      </w:r>
      <w:hyperlink r:id="rId183">
        <w:r>
          <w:rPr>
            <w:rStyle w:val="Hyperlink"/>
          </w:rPr>
          <w:t xml:space="preserve">https://github.com/better-care/fhir-connect-mapping-spec</w:t>
        </w:r>
      </w:hyperlink>
    </w:p>
    <w:bookmarkEnd w:id="184"/>
    <w:bookmarkStart w:id="186" w:name="ref-openfhir"/>
    <w:p>
      <w:pPr>
        <w:pStyle w:val="Bibliography"/>
      </w:pPr>
      <w:r>
        <w:t xml:space="preserve">66.</w:t>
      </w:r>
      <w:r>
        <w:t xml:space="preserve"> </w:t>
      </w:r>
      <w:r>
        <w:t xml:space="preserve">	</w:t>
      </w:r>
      <w:r>
        <w:t xml:space="preserve">Welcome to</w:t>
      </w:r>
      <w:r>
        <w:t xml:space="preserve"> </w:t>
      </w:r>
      <w:r>
        <w:t xml:space="preserve">openFHIR</w:t>
      </w:r>
      <w:r>
        <w:t xml:space="preserve">’s documentation! —</w:t>
      </w:r>
      <w:r>
        <w:t xml:space="preserve"> </w:t>
      </w:r>
      <w:r>
        <w:t xml:space="preserve">openFHIR</w:t>
      </w:r>
      <w:r>
        <w:t xml:space="preserve"> </w:t>
      </w:r>
      <w:r>
        <w:t xml:space="preserve">0.9.3 documentation. Accessed February 4, 2025.</w:t>
      </w:r>
      <w:r>
        <w:t xml:space="preserve"> </w:t>
      </w:r>
      <w:hyperlink r:id="rId185">
        <w:r>
          <w:rPr>
            <w:rStyle w:val="Hyperlink"/>
          </w:rPr>
          <w:t xml:space="preserve">https://open-fhir.com/documentation/index.html</w:t>
        </w:r>
      </w:hyperlink>
    </w:p>
    <w:bookmarkEnd w:id="186"/>
    <w:bookmarkStart w:id="188" w:name="ref-pohjonen2022norway"/>
    <w:p>
      <w:pPr>
        <w:pStyle w:val="Bibliography"/>
      </w:pPr>
      <w:r>
        <w:t xml:space="preserve">67.</w:t>
      </w:r>
      <w:r>
        <w:t xml:space="preserve"> </w:t>
      </w:r>
      <w:r>
        <w:t xml:space="preserve">	</w:t>
      </w:r>
      <w:r>
        <w:t xml:space="preserve">Pohjonen H. Norway,</w:t>
      </w:r>
      <w:r>
        <w:t xml:space="preserve"> </w:t>
      </w:r>
      <w:r>
        <w:t xml:space="preserve">Sweden</w:t>
      </w:r>
      <w:r>
        <w:t xml:space="preserve">, and</w:t>
      </w:r>
      <w:r>
        <w:t xml:space="preserve"> </w:t>
      </w:r>
      <w:r>
        <w:t xml:space="preserve">Finland</w:t>
      </w:r>
      <w:r>
        <w:t xml:space="preserve"> </w:t>
      </w:r>
      <w:r>
        <w:t xml:space="preserve">as forerunners in open ecosystems and</w:t>
      </w:r>
      <w:r>
        <w:t xml:space="preserve"> </w:t>
      </w:r>
      <w:r>
        <w:t xml:space="preserve">openEHR</w:t>
      </w:r>
      <w:r>
        <w:t xml:space="preserve">. In: Hovenga E, Grain H, eds.</w:t>
      </w:r>
      <w:r>
        <w:t xml:space="preserve"> </w:t>
      </w:r>
      <w:r>
        <w:rPr>
          <w:i/>
          <w:iCs/>
        </w:rPr>
        <w:t xml:space="preserve">Roadmap to</w:t>
      </w:r>
      <w:r>
        <w:rPr>
          <w:i/>
          <w:iCs/>
        </w:rPr>
        <w:t xml:space="preserve"> </w:t>
      </w:r>
      <w:r>
        <w:rPr>
          <w:i/>
          <w:iCs/>
        </w:rPr>
        <w:t xml:space="preserve">Successful Digital Health Ecosystems</w:t>
      </w:r>
      <w:r>
        <w:t xml:space="preserve">. Academic Press; 2022:457-471. doi:</w:t>
      </w:r>
      <w:hyperlink r:id="rId187">
        <w:r>
          <w:rPr>
            <w:rStyle w:val="Hyperlink"/>
          </w:rPr>
          <w:t xml:space="preserve">10.1016/B978-0-12-823413-6.00011-2</w:t>
        </w:r>
      </w:hyperlink>
    </w:p>
    <w:bookmarkEnd w:id="188"/>
    <w:bookmarkStart w:id="190" w:name="ref-clickhouse"/>
    <w:p>
      <w:pPr>
        <w:pStyle w:val="Bibliography"/>
      </w:pPr>
      <w:r>
        <w:t xml:space="preserve">68.</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89">
        <w:r>
          <w:rPr>
            <w:rStyle w:val="Hyperlink"/>
          </w:rPr>
          <w:t xml:space="preserve">https://clickhouse.com</w:t>
        </w:r>
      </w:hyperlink>
    </w:p>
    <w:bookmarkEnd w:id="190"/>
    <w:bookmarkStart w:id="192" w:name="ref-dbt"/>
    <w:p>
      <w:pPr>
        <w:pStyle w:val="Bibliography"/>
      </w:pPr>
      <w:r>
        <w:t xml:space="preserve">69.</w:t>
      </w:r>
      <w:r>
        <w:t xml:space="preserve"> </w:t>
      </w:r>
      <w:r>
        <w:t xml:space="preserve">	</w:t>
      </w:r>
      <w:r>
        <w:t xml:space="preserve">Dbt. Accessed September 20, 2024.</w:t>
      </w:r>
      <w:r>
        <w:t xml:space="preserve"> </w:t>
      </w:r>
      <w:hyperlink r:id="rId191">
        <w:r>
          <w:rPr>
            <w:rStyle w:val="Hyperlink"/>
          </w:rPr>
          <w:t xml:space="preserve">https://www.getdbt.com/index</w:t>
        </w:r>
      </w:hyperlink>
    </w:p>
    <w:bookmarkEnd w:id="192"/>
    <w:bookmarkStart w:id="194" w:name="ref-balch2023machine"/>
    <w:p>
      <w:pPr>
        <w:pStyle w:val="Bibliography"/>
      </w:pPr>
      <w:r>
        <w:t xml:space="preserve">70.</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
          <w:iCs/>
        </w:rPr>
        <w:t xml:space="preserve">JMIR Medical Informatics</w:t>
      </w:r>
      <w:r>
        <w:t xml:space="preserve">. 2023;11(1):e48297. doi:</w:t>
      </w:r>
      <w:hyperlink r:id="rId193">
        <w:r>
          <w:rPr>
            <w:rStyle w:val="Hyperlink"/>
          </w:rPr>
          <w:t xml:space="preserve">10.2196/48297</w:t>
        </w:r>
      </w:hyperlink>
    </w:p>
    <w:bookmarkEnd w:id="194"/>
    <w:bookmarkStart w:id="196" w:name="ref-digitalpublicgoods"/>
    <w:p>
      <w:pPr>
        <w:pStyle w:val="Bibliography"/>
      </w:pPr>
      <w:r>
        <w:t xml:space="preserve">71.</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95">
        <w:r>
          <w:rPr>
            <w:rStyle w:val="Hyperlink"/>
          </w:rPr>
          <w:t xml:space="preserve">https://digitalpublicgoods.net/</w:t>
        </w:r>
      </w:hyperlink>
    </w:p>
    <w:bookmarkEnd w:id="196"/>
    <w:bookmarkStart w:id="198" w:name="ref-instant-openhie-v2"/>
    <w:p>
      <w:pPr>
        <w:pStyle w:val="Bibliography"/>
      </w:pPr>
      <w:r>
        <w:t xml:space="preserve">72.</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97">
        <w:r>
          <w:rPr>
            <w:rStyle w:val="Hyperlink"/>
          </w:rPr>
          <w:t xml:space="preserve">https://jembi.gitbook.io/instant-v2/</w:t>
        </w:r>
      </w:hyperlink>
    </w:p>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hyperlink" Id="rId83" Target="http://hcxprotocol.io/" TargetMode="External" /><Relationship Type="http://schemas.openxmlformats.org/officeDocument/2006/relationships/hyperlink" Id="rId149" Target="https://arrow.apache.org/" TargetMode="External" /><Relationship Type="http://schemas.openxmlformats.org/officeDocument/2006/relationships/hyperlink" Id="rId181" Target="https://beda.software/emr" TargetMode="External" /><Relationship Type="http://schemas.openxmlformats.org/officeDocument/2006/relationships/hyperlink" Id="rId92" Target="https://build.fhir.org/ig/FHIR/sql-on-fhir-v2/" TargetMode="External" /><Relationship Type="http://schemas.openxmlformats.org/officeDocument/2006/relationships/hyperlink" Id="rId189" Target="https://clickhouse.com" TargetMode="External" /><Relationship Type="http://schemas.openxmlformats.org/officeDocument/2006/relationships/hyperlink" Id="rId94" Target="https://confluence.hl7.org/display/FHIR/Open+Source+Implementations" TargetMode="External" /><Relationship Type="http://schemas.openxmlformats.org/officeDocument/2006/relationships/hyperlink" Id="rId175" Target="https://developers.google.com/open-health-stack" TargetMode="External" /><Relationship Type="http://schemas.openxmlformats.org/officeDocument/2006/relationships/hyperlink" Id="rId195" Target="https://digitalpublicgoods.net/" TargetMode="External" /><Relationship Type="http://schemas.openxmlformats.org/officeDocument/2006/relationships/hyperlink" Id="rId53" Target="https://docs.opensrp.io/" TargetMode="External" /><Relationship Type="http://schemas.openxmlformats.org/officeDocument/2006/relationships/hyperlink" Id="rId122" Target="https://doi.org/10.1007/978-981-15-6315-7_7" TargetMode="External" /><Relationship Type="http://schemas.openxmlformats.org/officeDocument/2006/relationships/hyperlink" Id="rId187" Target="https://doi.org/10.1016/B978-0-12-823413-6.00011-2" TargetMode="External" /><Relationship Type="http://schemas.openxmlformats.org/officeDocument/2006/relationships/hyperlink" Id="rId110" Target="https://doi.org/10.1016/j.cmpb.2021.106394" TargetMode="External" /><Relationship Type="http://schemas.openxmlformats.org/officeDocument/2006/relationships/hyperlink" Id="rId130" Target="https://doi.org/10.1016/j.csbj.2024.02.014" TargetMode="External" /><Relationship Type="http://schemas.openxmlformats.org/officeDocument/2006/relationships/hyperlink" Id="rId136" Target="https://doi.org/10.1016/j.ijmedinf.2022.104925" TargetMode="External" /><Relationship Type="http://schemas.openxmlformats.org/officeDocument/2006/relationships/hyperlink" Id="rId134" Target="https://doi.org/10.1016/j.jbi.2023.104338" TargetMode="External" /><Relationship Type="http://schemas.openxmlformats.org/officeDocument/2006/relationships/hyperlink" Id="rId114" Target="https://doi.org/10.1016/j.jbi.2024.104661" TargetMode="External" /><Relationship Type="http://schemas.openxmlformats.org/officeDocument/2006/relationships/hyperlink" Id="rId104" Target="https://doi.org/10.1016/j.xcrm.2024.101419" TargetMode="External" /><Relationship Type="http://schemas.openxmlformats.org/officeDocument/2006/relationships/hyperlink" Id="rId102" Target="https://doi.org/10.1038/s41746-020-00323-1" TargetMode="External" /><Relationship Type="http://schemas.openxmlformats.org/officeDocument/2006/relationships/hyperlink" Id="rId88" Target="https://doi.org/10.1038/s41746-020-00358-4" TargetMode="External" /><Relationship Type="http://schemas.openxmlformats.org/officeDocument/2006/relationships/hyperlink" Id="rId164" Target="https://doi.org/10.1055/s-0043-1768711" TargetMode="External" /><Relationship Type="http://schemas.openxmlformats.org/officeDocument/2006/relationships/hyperlink" Id="rId62"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26" Target="https://doi.org/10.1093/jamia/ocac105" TargetMode="External" /><Relationship Type="http://schemas.openxmlformats.org/officeDocument/2006/relationships/hyperlink" Id="rId128" Target="https://doi.org/10.1093/jamia/ocad235" TargetMode="External" /><Relationship Type="http://schemas.openxmlformats.org/officeDocument/2006/relationships/hyperlink" Id="rId86" Target="https://doi.org/10.1093/oodh/oqad018" TargetMode="External" /><Relationship Type="http://schemas.openxmlformats.org/officeDocument/2006/relationships/hyperlink" Id="rId142" Target="https://doi.org/10.1109/BigData55660.2022.10020719" TargetMode="External" /><Relationship Type="http://schemas.openxmlformats.org/officeDocument/2006/relationships/hyperlink" Id="rId140" Target="https://doi.org/10.1109/TKDE.2023.3270101" TargetMode="External" /><Relationship Type="http://schemas.openxmlformats.org/officeDocument/2006/relationships/hyperlink" Id="rId66" Target="https://doi.org/10.1126/science.1196187" TargetMode="External" /><Relationship Type="http://schemas.openxmlformats.org/officeDocument/2006/relationships/hyperlink" Id="rId68" Target="https://doi.org/10.1145/3274770" TargetMode="External" /><Relationship Type="http://schemas.openxmlformats.org/officeDocument/2006/relationships/hyperlink" Id="rId70" Target="https://doi.org/10.1145/3565011.3569056" TargetMode="External" /><Relationship Type="http://schemas.openxmlformats.org/officeDocument/2006/relationships/hyperlink" Id="rId116" Target="https://doi.org/10.1183/23120541.00168-2022" TargetMode="External" /><Relationship Type="http://schemas.openxmlformats.org/officeDocument/2006/relationships/hyperlink" Id="rId167" Target="https://doi.org/10.1186/s12911-021-01499-6" TargetMode="External" /><Relationship Type="http://schemas.openxmlformats.org/officeDocument/2006/relationships/hyperlink" Id="rId162" Target="https://doi.org/10.1371/journal.pdig.0000118" TargetMode="External" /><Relationship Type="http://schemas.openxmlformats.org/officeDocument/2006/relationships/hyperlink" Id="rId132" Target="https://doi.org/10.1371/journal.pone.0223010" TargetMode="External" /><Relationship Type="http://schemas.openxmlformats.org/officeDocument/2006/relationships/hyperlink" Id="rId146" Target="https://doi.org/10.14778/3603581.3603604" TargetMode="External" /><Relationship Type="http://schemas.openxmlformats.org/officeDocument/2006/relationships/hyperlink" Id="rId144" Target="https://doi.org/10.2139/ssrn.4765588" TargetMode="External" /><Relationship Type="http://schemas.openxmlformats.org/officeDocument/2006/relationships/hyperlink" Id="rId193" Target="https://doi.org/10.2196/48297" TargetMode="External" /><Relationship Type="http://schemas.openxmlformats.org/officeDocument/2006/relationships/hyperlink" Id="rId60" Target="https://doi.org/10.2196/55779" TargetMode="External" /><Relationship Type="http://schemas.openxmlformats.org/officeDocument/2006/relationships/hyperlink" Id="rId72" Target="https://doi.org/10.2196/jmir.1521" TargetMode="External" /><Relationship Type="http://schemas.openxmlformats.org/officeDocument/2006/relationships/hyperlink" Id="rId171" Target="https://doi.org/10.2196/medinform.8131" TargetMode="External" /><Relationship Type="http://schemas.openxmlformats.org/officeDocument/2006/relationships/hyperlink" Id="rId179" Target="https://doi.org/10.2991/ichs-18.2019.21" TargetMode="External" /><Relationship Type="http://schemas.openxmlformats.org/officeDocument/2006/relationships/hyperlink" Id="rId124" Target="https://doi.org/10.3233/SHTI220682" TargetMode="External" /><Relationship Type="http://schemas.openxmlformats.org/officeDocument/2006/relationships/hyperlink" Id="rId158" Target="https://doi.org/10.7189/jogh.12.04090" TargetMode="External" /><Relationship Type="http://schemas.openxmlformats.org/officeDocument/2006/relationships/hyperlink" Id="rId156" Target="https://duckdb.org/" TargetMode="External" /><Relationship Type="http://schemas.openxmlformats.org/officeDocument/2006/relationships/hyperlink" Id="rId78" Target="https://ehr-exchange-format.eu/wp-content/uploads/2024/10/D2.2-v20240704-EHRxF-in-a-Nutshell-WP2-ISCTE.pdf" TargetMode="External" /><Relationship Type="http://schemas.openxmlformats.org/officeDocument/2006/relationships/hyperlink" Id="rId74" Target="https://en.wikipedia.org/w/index.php?title=GSM&amp;oldid=1245675274" TargetMode="External" /><Relationship Type="http://schemas.openxmlformats.org/officeDocument/2006/relationships/hyperlink" Id="rId183" Target="https://github.com/better-care/fhir-connect-mapping-spec" TargetMode="External" /><Relationship Type="http://schemas.openxmlformats.org/officeDocument/2006/relationships/hyperlink" Id="rId169" Target="https://hapifhir.io/" TargetMode="External" /><Relationship Type="http://schemas.openxmlformats.org/officeDocument/2006/relationships/hyperlink" Id="rId108" Target="https://health-ri.atlassian.net/wiki/spaces/HNG/pages/249073646/Agreements+on+the+National+Health+Data+Infrastructure+for+Research+Policy+and+Innovation" TargetMode="External" /><Relationship Type="http://schemas.openxmlformats.org/officeDocument/2006/relationships/hyperlink" Id="rId154" Target="https://iceberg.apache.org/" TargetMode="External" /><Relationship Type="http://schemas.openxmlformats.org/officeDocument/2006/relationships/hyperlink" Id="rId48" Target="https://jembi.gitbook.io/" TargetMode="External" /><Relationship Type="http://schemas.openxmlformats.org/officeDocument/2006/relationships/hyperlink" Id="rId197" Target="https://jembi.gitbook.io/instant-v2/" TargetMode="External" /><Relationship Type="http://schemas.openxmlformats.org/officeDocument/2006/relationships/hyperlink" Id="rId173" Target="https://lib.digitalsquare.io/handle/123456789/77592" TargetMode="External" /><Relationship Type="http://schemas.openxmlformats.org/officeDocument/2006/relationships/hyperlink" Id="rId160" Target="https://ohie.org/" TargetMode="External" /><Relationship Type="http://schemas.openxmlformats.org/officeDocument/2006/relationships/hyperlink" Id="rId138" Target="https://omoponfhir.org/" TargetMode="External" /><Relationship Type="http://schemas.openxmlformats.org/officeDocument/2006/relationships/hyperlink" Id="rId185" Target="https://open-fhir.com/documentation/index.html" TargetMode="External" /><Relationship Type="http://schemas.openxmlformats.org/officeDocument/2006/relationships/hyperlink" Id="rId98" Target="https://openehr.org/products_tools/platform/" TargetMode="External" /><Relationship Type="http://schemas.openxmlformats.org/officeDocument/2006/relationships/hyperlink" Id="rId64" Target="https://openfuture.pubpub.org/pub/paradox-of-open/release/1" TargetMode="External" /><Relationship Type="http://schemas.openxmlformats.org/officeDocument/2006/relationships/hyperlink" Id="rId151" Target="https://parquet.apache.org/" TargetMode="External" /><Relationship Type="http://schemas.openxmlformats.org/officeDocument/2006/relationships/hyperlink" Id="rId106" Target="https://plugin.healthcare/" TargetMode="External" /><Relationship Type="http://schemas.openxmlformats.org/officeDocument/2006/relationships/hyperlink" Id="rId80" Target="https://simplifier.net/organization/firely/news/153" TargetMode="External" /><Relationship Type="http://schemas.openxmlformats.org/officeDocument/2006/relationships/hyperlink" Id="rId100" Target="https://www.ehrbase.org/" TargetMode="External" /><Relationship Type="http://schemas.openxmlformats.org/officeDocument/2006/relationships/hyperlink" Id="rId191" Target="https://www.getdbt.com/index" TargetMode="External" /><Relationship Type="http://schemas.openxmlformats.org/officeDocument/2006/relationships/hyperlink" Id="rId76" Target="https://www.hl7.org/documentcenter/public/white-papers/2024%20StateofFHIRSurveyResults_final.pdf" TargetMode="External" /><Relationship Type="http://schemas.openxmlformats.org/officeDocument/2006/relationships/hyperlink" Id="rId120" Target="https://www.ncbi.nlm.nih.gov/pmc/articles/PMC8075508/" TargetMode="External" /><Relationship Type="http://schemas.openxmlformats.org/officeDocument/2006/relationships/hyperlink" Id="rId118" Target="https://www.ohdsi-europe.org/images/symposium-2024/Posters/poster%20OHDSI%20FHIN%20Camille%20Deltomme%20-%20Camille%20Deltomme.pdf" TargetMode="External" /><Relationship Type="http://schemas.openxmlformats.org/officeDocument/2006/relationships/hyperlink" Id="rId112" Target="https://www.ohdsi.org/2022showcase-33/" TargetMode="External" /><Relationship Type="http://schemas.openxmlformats.org/officeDocument/2006/relationships/hyperlink" Id="rId96" Target="https://www.ohdsi.org/software-tools/" TargetMode="External" /><Relationship Type="http://schemas.openxmlformats.org/officeDocument/2006/relationships/hyperlink" Id="rId177"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83" Target="http://hcxprotocol.io/" TargetMode="External" /><Relationship Type="http://schemas.openxmlformats.org/officeDocument/2006/relationships/hyperlink" Id="rId149" Target="https://arrow.apache.org/" TargetMode="External" /><Relationship Type="http://schemas.openxmlformats.org/officeDocument/2006/relationships/hyperlink" Id="rId181" Target="https://beda.software/emr" TargetMode="External" /><Relationship Type="http://schemas.openxmlformats.org/officeDocument/2006/relationships/hyperlink" Id="rId92" Target="https://build.fhir.org/ig/FHIR/sql-on-fhir-v2/" TargetMode="External" /><Relationship Type="http://schemas.openxmlformats.org/officeDocument/2006/relationships/hyperlink" Id="rId189" Target="https://clickhouse.com" TargetMode="External" /><Relationship Type="http://schemas.openxmlformats.org/officeDocument/2006/relationships/hyperlink" Id="rId94" Target="https://confluence.hl7.org/display/FHIR/Open+Source+Implementations" TargetMode="External" /><Relationship Type="http://schemas.openxmlformats.org/officeDocument/2006/relationships/hyperlink" Id="rId175" Target="https://developers.google.com/open-health-stack" TargetMode="External" /><Relationship Type="http://schemas.openxmlformats.org/officeDocument/2006/relationships/hyperlink" Id="rId195" Target="https://digitalpublicgoods.net/" TargetMode="External" /><Relationship Type="http://schemas.openxmlformats.org/officeDocument/2006/relationships/hyperlink" Id="rId53" Target="https://docs.opensrp.io/" TargetMode="External" /><Relationship Type="http://schemas.openxmlformats.org/officeDocument/2006/relationships/hyperlink" Id="rId122" Target="https://doi.org/10.1007/978-981-15-6315-7_7" TargetMode="External" /><Relationship Type="http://schemas.openxmlformats.org/officeDocument/2006/relationships/hyperlink" Id="rId187" Target="https://doi.org/10.1016/B978-0-12-823413-6.00011-2" TargetMode="External" /><Relationship Type="http://schemas.openxmlformats.org/officeDocument/2006/relationships/hyperlink" Id="rId110" Target="https://doi.org/10.1016/j.cmpb.2021.106394" TargetMode="External" /><Relationship Type="http://schemas.openxmlformats.org/officeDocument/2006/relationships/hyperlink" Id="rId130" Target="https://doi.org/10.1016/j.csbj.2024.02.014" TargetMode="External" /><Relationship Type="http://schemas.openxmlformats.org/officeDocument/2006/relationships/hyperlink" Id="rId136" Target="https://doi.org/10.1016/j.ijmedinf.2022.104925" TargetMode="External" /><Relationship Type="http://schemas.openxmlformats.org/officeDocument/2006/relationships/hyperlink" Id="rId134" Target="https://doi.org/10.1016/j.jbi.2023.104338" TargetMode="External" /><Relationship Type="http://schemas.openxmlformats.org/officeDocument/2006/relationships/hyperlink" Id="rId114" Target="https://doi.org/10.1016/j.jbi.2024.104661" TargetMode="External" /><Relationship Type="http://schemas.openxmlformats.org/officeDocument/2006/relationships/hyperlink" Id="rId104" Target="https://doi.org/10.1016/j.xcrm.2024.101419" TargetMode="External" /><Relationship Type="http://schemas.openxmlformats.org/officeDocument/2006/relationships/hyperlink" Id="rId102" Target="https://doi.org/10.1038/s41746-020-00323-1" TargetMode="External" /><Relationship Type="http://schemas.openxmlformats.org/officeDocument/2006/relationships/hyperlink" Id="rId88" Target="https://doi.org/10.1038/s41746-020-00358-4" TargetMode="External" /><Relationship Type="http://schemas.openxmlformats.org/officeDocument/2006/relationships/hyperlink" Id="rId164" Target="https://doi.org/10.1055/s-0043-1768711" TargetMode="External" /><Relationship Type="http://schemas.openxmlformats.org/officeDocument/2006/relationships/hyperlink" Id="rId62" Target="https://doi.org/10.1057/s41265-016-0033-3" TargetMode="External" /><Relationship Type="http://schemas.openxmlformats.org/officeDocument/2006/relationships/hyperlink" Id="rId90" Target="https://doi.org/10.1093/jamia/ocab028" TargetMode="External" /><Relationship Type="http://schemas.openxmlformats.org/officeDocument/2006/relationships/hyperlink" Id="rId126" Target="https://doi.org/10.1093/jamia/ocac105" TargetMode="External" /><Relationship Type="http://schemas.openxmlformats.org/officeDocument/2006/relationships/hyperlink" Id="rId128" Target="https://doi.org/10.1093/jamia/ocad235" TargetMode="External" /><Relationship Type="http://schemas.openxmlformats.org/officeDocument/2006/relationships/hyperlink" Id="rId86" Target="https://doi.org/10.1093/oodh/oqad018" TargetMode="External" /><Relationship Type="http://schemas.openxmlformats.org/officeDocument/2006/relationships/hyperlink" Id="rId142" Target="https://doi.org/10.1109/BigData55660.2022.10020719" TargetMode="External" /><Relationship Type="http://schemas.openxmlformats.org/officeDocument/2006/relationships/hyperlink" Id="rId140" Target="https://doi.org/10.1109/TKDE.2023.3270101" TargetMode="External" /><Relationship Type="http://schemas.openxmlformats.org/officeDocument/2006/relationships/hyperlink" Id="rId66" Target="https://doi.org/10.1126/science.1196187" TargetMode="External" /><Relationship Type="http://schemas.openxmlformats.org/officeDocument/2006/relationships/hyperlink" Id="rId68" Target="https://doi.org/10.1145/3274770" TargetMode="External" /><Relationship Type="http://schemas.openxmlformats.org/officeDocument/2006/relationships/hyperlink" Id="rId70" Target="https://doi.org/10.1145/3565011.3569056" TargetMode="External" /><Relationship Type="http://schemas.openxmlformats.org/officeDocument/2006/relationships/hyperlink" Id="rId116" Target="https://doi.org/10.1183/23120541.00168-2022" TargetMode="External" /><Relationship Type="http://schemas.openxmlformats.org/officeDocument/2006/relationships/hyperlink" Id="rId167" Target="https://doi.org/10.1186/s12911-021-01499-6" TargetMode="External" /><Relationship Type="http://schemas.openxmlformats.org/officeDocument/2006/relationships/hyperlink" Id="rId162" Target="https://doi.org/10.1371/journal.pdig.0000118" TargetMode="External" /><Relationship Type="http://schemas.openxmlformats.org/officeDocument/2006/relationships/hyperlink" Id="rId132" Target="https://doi.org/10.1371/journal.pone.0223010" TargetMode="External" /><Relationship Type="http://schemas.openxmlformats.org/officeDocument/2006/relationships/hyperlink" Id="rId146" Target="https://doi.org/10.14778/3603581.3603604" TargetMode="External" /><Relationship Type="http://schemas.openxmlformats.org/officeDocument/2006/relationships/hyperlink" Id="rId144" Target="https://doi.org/10.2139/ssrn.4765588" TargetMode="External" /><Relationship Type="http://schemas.openxmlformats.org/officeDocument/2006/relationships/hyperlink" Id="rId193" Target="https://doi.org/10.2196/48297" TargetMode="External" /><Relationship Type="http://schemas.openxmlformats.org/officeDocument/2006/relationships/hyperlink" Id="rId60" Target="https://doi.org/10.2196/55779" TargetMode="External" /><Relationship Type="http://schemas.openxmlformats.org/officeDocument/2006/relationships/hyperlink" Id="rId72" Target="https://doi.org/10.2196/jmir.1521" TargetMode="External" /><Relationship Type="http://schemas.openxmlformats.org/officeDocument/2006/relationships/hyperlink" Id="rId171" Target="https://doi.org/10.2196/medinform.8131" TargetMode="External" /><Relationship Type="http://schemas.openxmlformats.org/officeDocument/2006/relationships/hyperlink" Id="rId179" Target="https://doi.org/10.2991/ichs-18.2019.21" TargetMode="External" /><Relationship Type="http://schemas.openxmlformats.org/officeDocument/2006/relationships/hyperlink" Id="rId124" Target="https://doi.org/10.3233/SHTI220682" TargetMode="External" /><Relationship Type="http://schemas.openxmlformats.org/officeDocument/2006/relationships/hyperlink" Id="rId158" Target="https://doi.org/10.7189/jogh.12.04090" TargetMode="External" /><Relationship Type="http://schemas.openxmlformats.org/officeDocument/2006/relationships/hyperlink" Id="rId156" Target="https://duckdb.org/" TargetMode="External" /><Relationship Type="http://schemas.openxmlformats.org/officeDocument/2006/relationships/hyperlink" Id="rId78" Target="https://ehr-exchange-format.eu/wp-content/uploads/2024/10/D2.2-v20240704-EHRxF-in-a-Nutshell-WP2-ISCTE.pdf" TargetMode="External" /><Relationship Type="http://schemas.openxmlformats.org/officeDocument/2006/relationships/hyperlink" Id="rId74" Target="https://en.wikipedia.org/w/index.php?title=GSM&amp;oldid=1245675274" TargetMode="External" /><Relationship Type="http://schemas.openxmlformats.org/officeDocument/2006/relationships/hyperlink" Id="rId183" Target="https://github.com/better-care/fhir-connect-mapping-spec" TargetMode="External" /><Relationship Type="http://schemas.openxmlformats.org/officeDocument/2006/relationships/hyperlink" Id="rId169" Target="https://hapifhir.io/" TargetMode="External" /><Relationship Type="http://schemas.openxmlformats.org/officeDocument/2006/relationships/hyperlink" Id="rId108" Target="https://health-ri.atlassian.net/wiki/spaces/HNG/pages/249073646/Agreements+on+the+National+Health+Data+Infrastructure+for+Research+Policy+and+Innovation" TargetMode="External" /><Relationship Type="http://schemas.openxmlformats.org/officeDocument/2006/relationships/hyperlink" Id="rId154" Target="https://iceberg.apache.org/" TargetMode="External" /><Relationship Type="http://schemas.openxmlformats.org/officeDocument/2006/relationships/hyperlink" Id="rId48" Target="https://jembi.gitbook.io/" TargetMode="External" /><Relationship Type="http://schemas.openxmlformats.org/officeDocument/2006/relationships/hyperlink" Id="rId197" Target="https://jembi.gitbook.io/instant-v2/" TargetMode="External" /><Relationship Type="http://schemas.openxmlformats.org/officeDocument/2006/relationships/hyperlink" Id="rId173" Target="https://lib.digitalsquare.io/handle/123456789/77592" TargetMode="External" /><Relationship Type="http://schemas.openxmlformats.org/officeDocument/2006/relationships/hyperlink" Id="rId160" Target="https://ohie.org/" TargetMode="External" /><Relationship Type="http://schemas.openxmlformats.org/officeDocument/2006/relationships/hyperlink" Id="rId138" Target="https://omoponfhir.org/" TargetMode="External" /><Relationship Type="http://schemas.openxmlformats.org/officeDocument/2006/relationships/hyperlink" Id="rId185" Target="https://open-fhir.com/documentation/index.html" TargetMode="External" /><Relationship Type="http://schemas.openxmlformats.org/officeDocument/2006/relationships/hyperlink" Id="rId98" Target="https://openehr.org/products_tools/platform/" TargetMode="External" /><Relationship Type="http://schemas.openxmlformats.org/officeDocument/2006/relationships/hyperlink" Id="rId64" Target="https://openfuture.pubpub.org/pub/paradox-of-open/release/1" TargetMode="External" /><Relationship Type="http://schemas.openxmlformats.org/officeDocument/2006/relationships/hyperlink" Id="rId151" Target="https://parquet.apache.org/" TargetMode="External" /><Relationship Type="http://schemas.openxmlformats.org/officeDocument/2006/relationships/hyperlink" Id="rId106" Target="https://plugin.healthcare/" TargetMode="External" /><Relationship Type="http://schemas.openxmlformats.org/officeDocument/2006/relationships/hyperlink" Id="rId80" Target="https://simplifier.net/organization/firely/news/153" TargetMode="External" /><Relationship Type="http://schemas.openxmlformats.org/officeDocument/2006/relationships/hyperlink" Id="rId100" Target="https://www.ehrbase.org/" TargetMode="External" /><Relationship Type="http://schemas.openxmlformats.org/officeDocument/2006/relationships/hyperlink" Id="rId191" Target="https://www.getdbt.com/index" TargetMode="External" /><Relationship Type="http://schemas.openxmlformats.org/officeDocument/2006/relationships/hyperlink" Id="rId76" Target="https://www.hl7.org/documentcenter/public/white-papers/2024%20StateofFHIRSurveyResults_final.pdf" TargetMode="External" /><Relationship Type="http://schemas.openxmlformats.org/officeDocument/2006/relationships/hyperlink" Id="rId120" Target="https://www.ncbi.nlm.nih.gov/pmc/articles/PMC8075508/" TargetMode="External" /><Relationship Type="http://schemas.openxmlformats.org/officeDocument/2006/relationships/hyperlink" Id="rId118" Target="https://www.ohdsi-europe.org/images/symposium-2024/Posters/poster%20OHDSI%20FHIN%20Camille%20Deltomme%20-%20Camille%20Deltomme.pdf" TargetMode="External" /><Relationship Type="http://schemas.openxmlformats.org/officeDocument/2006/relationships/hyperlink" Id="rId112" Target="https://www.ohdsi.org/2022showcase-33/" TargetMode="External" /><Relationship Type="http://schemas.openxmlformats.org/officeDocument/2006/relationships/hyperlink" Id="rId96" Target="https://www.ohdsi.org/software-tools/" TargetMode="External" /><Relationship Type="http://schemas.openxmlformats.org/officeDocument/2006/relationships/hyperlink" Id="rId177"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health data interoperability, OMOP, openEHR, FHIR, secondary use, data platform, digital platform</cp:keywords>
  <dcterms:created xsi:type="dcterms:W3CDTF">2025-03-15T09:28:31Z</dcterms:created>
  <dcterms:modified xsi:type="dcterms:W3CDTF">2025-03-15T09:28:31Z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