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1.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open-source software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open-source pieces of software,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administrative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accessible to a larger audience and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open-source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open-source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broader application areas, one would expect more GitHub projects than for, say,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take into account the wider ecosystem of open-source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are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be conceptually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someone’s birthname,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[42–44]</w:t>
      </w:r>
      <w:r>
        <w:t xml:space="preserve"> </w:t>
      </w:r>
      <w:r>
        <w:t xml:space="preserve">and the composable data stack</w:t>
      </w:r>
      <w:r>
        <w:t xml:space="preserve"> </w:t>
      </w:r>
      <w:r>
        <w:t xml:space="preserve">[45]</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[42]</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[46]</w:t>
      </w:r>
      <w:r>
        <w:t xml:space="preserve">.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[51]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0"/>
    <w:bookmarkStart w:id="5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sub-Saharan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4" w:name="fig-openhie"/>
          <w:p>
            <w:pPr>
              <w:pStyle w:val="Compact"/>
              <w:jc w:val="center"/>
            </w:pPr>
            <w:r>
              <w:drawing>
                <wp:inline>
                  <wp:extent cx="5334000" cy="3796029"/>
                  <wp:effectExtent b="0" l="0" r="0" t="0"/>
                  <wp:docPr descr="" title="" id="42" name="Picture"/>
                  <a:graphic>
                    <a:graphicData uri="http://schemas.openxmlformats.org/drawingml/2006/picture">
                      <pic:pic>
                        <pic:nvPicPr>
                          <pic:cNvPr descr="openhie.png" id="43" name="Picture"/>
                          <pic:cNvPicPr>
                            <a:picLocks noChangeArrowheads="1" noChangeAspect="1"/>
                          </pic:cNvPicPr>
                        </pic:nvPicPr>
                        <pic:blipFill>
                          <a:blip r:embed="rId41"/>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4"/>
        </w:tc>
      </w:tr>
    </w:tbl>
    <w:p>
      <w:pPr>
        <w:pStyle w:val="BodyText"/>
      </w:pPr>
      <w:r>
        <w:t xml:space="preserve">While the OpenHIE specification is agnostic to which data standards should be used, in practice the digital health community in LMICs have</w:t>
      </w:r>
      <w:r>
        <w:t xml:space="preserve"> </w:t>
      </w:r>
      <w:r>
        <w:rPr>
          <w:i/>
          <w:iCs/>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49" w:name="fig-openhim-platform"/>
          <w:p>
            <w:pPr>
              <w:pStyle w:val="Compact"/>
              <w:jc w:val="center"/>
            </w:pPr>
            <w:r>
              <w:drawing>
                <wp:inline>
                  <wp:extent cx="5334000" cy="2449195"/>
                  <wp:effectExtent b="0" l="0" r="0" t="0"/>
                  <wp:docPr descr="" title="" id="46" name="Picture"/>
                  <a:graphic>
                    <a:graphicData uri="http://schemas.openxmlformats.org/drawingml/2006/picture">
                      <pic:pic>
                        <pic:nvPicPr>
                          <pic:cNvPr descr="openhim-platform.png" id="47" name="Picture"/>
                          <pic:cNvPicPr>
                            <a:picLocks noChangeArrowheads="1" noChangeAspect="1"/>
                          </pic:cNvPicPr>
                        </pic:nvPicPr>
                        <pic:blipFill>
                          <a:blip r:embed="rId45"/>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48">
              <w:r>
                <w:rPr>
                  <w:rStyle w:val="Hyperlink"/>
                </w:rPr>
                <w:t xml:space="preserve">https://jembi.gitbook.io/</w:t>
              </w:r>
            </w:hyperlink>
            <w:r>
              <w:t xml:space="preserve">.</w:t>
            </w:r>
          </w:p>
          <w:bookmarkEnd w:id="49"/>
        </w:tc>
      </w:tr>
    </w:tbl>
    <w:p>
      <w:pPr>
        <w:pStyle w:val="BodyText"/>
      </w:pPr>
      <w:r>
        <w:t xml:space="preserve">Looking at the Point-of-Service systems, we see that as of today openEHR is rarely used as the standard for clinical administration in LMICs. The largest open-source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 Note that this observation in the context of LMICs is not intended to dismiss openEHR outright. As the openEHR ecosystem continues to evolve, including its convergence with FHIR as a standard data exchange interface</w:t>
      </w:r>
      <w:r>
        <w:t xml:space="preserve"> </w:t>
      </w:r>
      <w:r>
        <w:t xml:space="preserve">[65,66]</w:t>
      </w:r>
      <w:r>
        <w:t xml:space="preserve">, we are supportive of using openEHR to realize digital health ecosystems like, for example, has been done in the European Nordic countries</w:t>
      </w:r>
      <w:r>
        <w:t xml:space="preserve"> </w:t>
      </w:r>
      <w:r>
        <w:t xml:space="preserve">[67]</w:t>
      </w:r>
      <w:r>
        <w:t xml:space="preserve">.</w:t>
      </w:r>
    </w:p>
    <w:tbl>
      <w:tblPr>
        <w:tblStyle w:val="Table"/>
        <w:tblW w:type="pct" w:w="5000"/>
        <w:tblLayout w:type="fixed"/>
        <w:tblLook w:firstRow="0" w:lastRow="0" w:firstColumn="0" w:lastColumn="0" w:noHBand="0" w:noVBand="0" w:val="0000"/>
      </w:tblPr>
      <w:tblGrid>
        <w:gridCol w:w="7920"/>
      </w:tblGrid>
      <w:tr>
        <w:tc>
          <w:tcPr/>
          <w:bookmarkStart w:id="54" w:name="fig-opensrp"/>
          <w:p>
            <w:pPr>
              <w:pStyle w:val="Compact"/>
              <w:jc w:val="center"/>
            </w:pPr>
            <w:r>
              <w:drawing>
                <wp:inline>
                  <wp:extent cx="5334000" cy="2351405"/>
                  <wp:effectExtent b="0" l="0" r="0" t="0"/>
                  <wp:docPr descr="" title="" id="51" name="Picture"/>
                  <a:graphic>
                    <a:graphicData uri="http://schemas.openxmlformats.org/drawingml/2006/picture">
                      <pic:pic>
                        <pic:nvPicPr>
                          <pic:cNvPr descr="opensrp.png" id="52" name="Picture"/>
                          <pic:cNvPicPr>
                            <a:picLocks noChangeArrowheads="1" noChangeAspect="1"/>
                          </pic:cNvPicPr>
                        </pic:nvPicPr>
                        <pic:blipFill>
                          <a:blip r:embed="rId50"/>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53">
              <w:r>
                <w:rPr>
                  <w:rStyle w:val="Hyperlink"/>
                </w:rPr>
                <w:t xml:space="preserve">https://docs.opensrp.io/</w:t>
              </w:r>
            </w:hyperlink>
            <w:r>
              <w:t xml:space="preserve">.</w:t>
            </w:r>
          </w:p>
          <w:bookmarkEnd w:id="54"/>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open-source technologies. FHIR-specific technologies such as Bulk FHIR data access and SQL-on-FHIR mentioned earlier, allow the FHIR ecosystem to be used, complemented and integrated with generic open-source data warehousing technologies such as Clickhouse</w:t>
      </w:r>
      <w:r>
        <w:t xml:space="preserve"> </w:t>
      </w:r>
      <w:r>
        <w:t xml:space="preserve">[68]</w:t>
      </w:r>
      <w:r>
        <w:t xml:space="preserve"> </w:t>
      </w:r>
      <w:r>
        <w:t xml:space="preserve">and dbt</w:t>
      </w:r>
      <w:r>
        <w:t xml:space="preserve"> </w:t>
      </w:r>
      <w:r>
        <w:t xml:space="preserve">[69]</w:t>
      </w:r>
      <w:r>
        <w:t xml:space="preserve">. Increasingly more studies have pointed to the potential that FHIR can bring when it is used in conjunction with machine learning and AI</w:t>
      </w:r>
      <w:r>
        <w:t xml:space="preserve"> </w:t>
      </w:r>
      <w:r>
        <w:t xml:space="preserve">[70]</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less flexible in their design and are thereby less suitable as a standard to implement the subsystems defined in the OpenHIE specification.</w:t>
      </w:r>
    </w:p>
    <w:bookmarkEnd w:id="55"/>
    <w:bookmarkStart w:id="56" w:name="conclusion-and-future-research"/>
    <w:p>
      <w:pPr>
        <w:pStyle w:val="Heading2"/>
      </w:pPr>
      <w:r>
        <w:t xml:space="preserve">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p>
    <w:p>
      <w:pPr>
        <w:pStyle w:val="BodyText"/>
      </w:pPr>
      <w:r>
        <w:t xml:space="preserve">In the case of LMICs, we see that FHIR is emerging as the standard for all three domains of clinical administration, data exchange and longitudinal analysis. We expect that FHIR will play a major role in driving health data convergence in LMICs, because the availability of open-source implementations and complementary components are important enablers in these resource-constrained environments. We strongly support ongoing developments to increase the availability of open-source implementations as digital public goods</w:t>
      </w:r>
      <w:r>
        <w:t xml:space="preserve"> </w:t>
      </w:r>
      <w:r>
        <w:t xml:space="preserve">[71]</w:t>
      </w:r>
      <w:r>
        <w:t xml:space="preserve"> </w:t>
      </w:r>
      <w:r>
        <w:t xml:space="preserve">and integration projects such as Instant OpenHIE</w:t>
      </w:r>
      <w:r>
        <w:t xml:space="preserve"> </w:t>
      </w:r>
      <w:r>
        <w:t xml:space="preserve">[72]</w:t>
      </w:r>
      <w:r>
        <w:t xml:space="preserve">, through which we have a fighting chance to move the needle in health data standardization for LMICs.</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6"/>
    <w:bookmarkStart w:id="5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7"/>
    <w:bookmarkStart w:id="5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58"/>
    <w:bookmarkStart w:id="59" w:name="abbreviations"/>
    <w:p>
      <w:pPr>
        <w:pStyle w:val="Heading2"/>
      </w:pPr>
      <w:r>
        <w:t xml:space="preserve">Abbreviations</w:t>
      </w:r>
    </w:p>
    <w:p>
      <w:pPr>
        <w:pStyle w:val="FirstParagraph"/>
      </w:pP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59"/>
    <w:bookmarkStart w:id="200" w:name="bibliography"/>
    <w:p>
      <w:pPr>
        <w:pStyle w:val="Heading1"/>
      </w:pPr>
      <w:r>
        <w:t xml:space="preserve">References</w:t>
      </w:r>
    </w:p>
    <w:bookmarkStart w:id="199" w:name="refs"/>
    <w:bookmarkStart w:id="61"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0">
        <w:r>
          <w:rPr>
            <w:rStyle w:val="Hyperlink"/>
          </w:rPr>
          <w:t xml:space="preserve">10.2196/55779</w:t>
        </w:r>
      </w:hyperlink>
    </w:p>
    <w:bookmarkEnd w:id="61"/>
    <w:bookmarkStart w:id="6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2">
        <w:r>
          <w:rPr>
            <w:rStyle w:val="Hyperlink"/>
          </w:rPr>
          <w:t xml:space="preserve">10.1057/s41265-016-0033-3</w:t>
        </w:r>
      </w:hyperlink>
    </w:p>
    <w:bookmarkEnd w:id="63"/>
    <w:bookmarkStart w:id="6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4">
        <w:r>
          <w:rPr>
            <w:rStyle w:val="Hyperlink"/>
          </w:rPr>
          <w:t xml:space="preserve">https://openfuture.pubpub.org/pub/paradox-of-open/release/1</w:t>
        </w:r>
      </w:hyperlink>
    </w:p>
    <w:bookmarkEnd w:id="65"/>
    <w:bookmarkStart w:id="67"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6">
        <w:r>
          <w:rPr>
            <w:rStyle w:val="Hyperlink"/>
          </w:rPr>
          <w:t xml:space="preserve">10.1126/science.1196187</w:t>
        </w:r>
      </w:hyperlink>
    </w:p>
    <w:bookmarkEnd w:id="67"/>
    <w:bookmarkStart w:id="69"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68">
        <w:r>
          <w:rPr>
            <w:rStyle w:val="Hyperlink"/>
          </w:rPr>
          <w:t xml:space="preserve">10.1145/3274770</w:t>
        </w:r>
      </w:hyperlink>
    </w:p>
    <w:bookmarkEnd w:id="69"/>
    <w:bookmarkStart w:id="71"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0">
        <w:r>
          <w:rPr>
            <w:rStyle w:val="Hyperlink"/>
          </w:rPr>
          <w:t xml:space="preserve">10.1145/3565011.3569056</w:t>
        </w:r>
      </w:hyperlink>
    </w:p>
    <w:bookmarkEnd w:id="71"/>
    <w:bookmarkStart w:id="73"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2">
        <w:r>
          <w:rPr>
            <w:rStyle w:val="Hyperlink"/>
          </w:rPr>
          <w:t xml:space="preserve">10.2196/jmir.1521</w:t>
        </w:r>
      </w:hyperlink>
    </w:p>
    <w:bookmarkEnd w:id="73"/>
    <w:bookmarkStart w:id="75"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4">
        <w:r>
          <w:rPr>
            <w:rStyle w:val="Hyperlink"/>
          </w:rPr>
          <w:t xml:space="preserve">https://en.wikipedia.org/w/index.php?title=GSM&amp;oldid=1245675274</w:t>
        </w:r>
      </w:hyperlink>
    </w:p>
    <w:bookmarkEnd w:id="75"/>
    <w:bookmarkStart w:id="77"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6">
        <w:r>
          <w:rPr>
            <w:rStyle w:val="Hyperlink"/>
          </w:rPr>
          <w:t xml:space="preserve">https://www.hl7.org/documentcenter/public/white-papers/2024%20StateofFHIRSurveyResults_final.pdf</w:t>
        </w:r>
      </w:hyperlink>
    </w:p>
    <w:bookmarkEnd w:id="77"/>
    <w:bookmarkStart w:id="79"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78">
        <w:r>
          <w:rPr>
            <w:rStyle w:val="Hyperlink"/>
          </w:rPr>
          <w:t xml:space="preserve">https://ehr-exchange-format.eu/wp-content/uploads/2024/10/D2.2-v20240704-EHRxF-in-a-Nutshell-WP2-ISCTE.pdf</w:t>
        </w:r>
      </w:hyperlink>
    </w:p>
    <w:bookmarkEnd w:id="79"/>
    <w:bookmarkStart w:id="81"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0">
        <w:r>
          <w:rPr>
            <w:rStyle w:val="Hyperlink"/>
          </w:rPr>
          <w:t xml:space="preserve">https://simplifier.net/organization/firely/news/153</w:t>
        </w:r>
      </w:hyperlink>
    </w:p>
    <w:bookmarkEnd w:id="81"/>
    <w:bookmarkStart w:id="82"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p>
    <w:bookmarkEnd w:id="82"/>
    <w:bookmarkStart w:id="84"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3">
        <w:r>
          <w:rPr>
            <w:rStyle w:val="Hyperlink"/>
          </w:rPr>
          <w:t xml:space="preserve">http://hcxprotocol.io/</w:t>
        </w:r>
      </w:hyperlink>
    </w:p>
    <w:bookmarkEnd w:id="84"/>
    <w:bookmarkStart w:id="85"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p>
    <w:bookmarkEnd w:id="85"/>
    <w:bookmarkStart w:id="87"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86">
        <w:r>
          <w:rPr>
            <w:rStyle w:val="Hyperlink"/>
          </w:rPr>
          <w:t xml:space="preserve">10.1093/oodh/oqad018</w:t>
        </w:r>
      </w:hyperlink>
    </w:p>
    <w:bookmarkEnd w:id="87"/>
    <w:bookmarkStart w:id="89"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88">
        <w:r>
          <w:rPr>
            <w:rStyle w:val="Hyperlink"/>
          </w:rPr>
          <w:t xml:space="preserve">10.1038/s41746-020-00358-4</w:t>
        </w:r>
      </w:hyperlink>
    </w:p>
    <w:bookmarkEnd w:id="89"/>
    <w:bookmarkStart w:id="91"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0">
        <w:r>
          <w:rPr>
            <w:rStyle w:val="Hyperlink"/>
          </w:rPr>
          <w:t xml:space="preserve">10.1093/jamia/ocab028</w:t>
        </w:r>
      </w:hyperlink>
    </w:p>
    <w:bookmarkEnd w:id="91"/>
    <w:bookmarkStart w:id="93"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2">
        <w:r>
          <w:rPr>
            <w:rStyle w:val="Hyperlink"/>
          </w:rPr>
          <w:t xml:space="preserve">https://build.fhir.org/ig/FHIR/sql-on-fhir-v2/</w:t>
        </w:r>
      </w:hyperlink>
    </w:p>
    <w:bookmarkEnd w:id="93"/>
    <w:bookmarkStart w:id="95"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4">
        <w:r>
          <w:rPr>
            <w:rStyle w:val="Hyperlink"/>
          </w:rPr>
          <w:t xml:space="preserve">https://confluence.hl7.org/display/FHIR/Open+Source+Implementations</w:t>
        </w:r>
      </w:hyperlink>
    </w:p>
    <w:bookmarkEnd w:id="95"/>
    <w:bookmarkStart w:id="97"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6">
        <w:r>
          <w:rPr>
            <w:rStyle w:val="Hyperlink"/>
          </w:rPr>
          <w:t xml:space="preserve">https://www.ohdsi.org/software-tools/</w:t>
        </w:r>
      </w:hyperlink>
    </w:p>
    <w:bookmarkEnd w:id="97"/>
    <w:bookmarkStart w:id="99"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98">
        <w:r>
          <w:rPr>
            <w:rStyle w:val="Hyperlink"/>
          </w:rPr>
          <w:t xml:space="preserve">https://openehr.org/products_tools/platform/</w:t>
        </w:r>
      </w:hyperlink>
    </w:p>
    <w:bookmarkEnd w:id="99"/>
    <w:bookmarkStart w:id="101"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0">
        <w:r>
          <w:rPr>
            <w:rStyle w:val="Hyperlink"/>
          </w:rPr>
          <w:t xml:space="preserve">https://www.ehrbase.org/</w:t>
        </w:r>
      </w:hyperlink>
    </w:p>
    <w:bookmarkEnd w:id="101"/>
    <w:bookmarkStart w:id="103"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2">
        <w:r>
          <w:rPr>
            <w:rStyle w:val="Hyperlink"/>
          </w:rPr>
          <w:t xml:space="preserve">10.1038/s41746-020-00323-1</w:t>
        </w:r>
      </w:hyperlink>
    </w:p>
    <w:bookmarkEnd w:id="103"/>
    <w:bookmarkStart w:id="105"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4">
        <w:r>
          <w:rPr>
            <w:rStyle w:val="Hyperlink"/>
          </w:rPr>
          <w:t xml:space="preserve">10.1016/j.xcrm.2024.101419</w:t>
        </w:r>
      </w:hyperlink>
    </w:p>
    <w:bookmarkEnd w:id="105"/>
    <w:bookmarkStart w:id="107"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6">
        <w:r>
          <w:rPr>
            <w:rStyle w:val="Hyperlink"/>
          </w:rPr>
          <w:t xml:space="preserve">https://plugin.healthcare/</w:t>
        </w:r>
      </w:hyperlink>
    </w:p>
    <w:bookmarkEnd w:id="107"/>
    <w:bookmarkStart w:id="109"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08">
        <w:r>
          <w:rPr>
            <w:rStyle w:val="Hyperlink"/>
          </w:rPr>
          <w:t xml:space="preserve">https://health-ri.atlassian.net/wiki/spaces/HNG/pages/249073646/Agreements+on+the+National+Health+Data+Infrastructure+for+Research+Policy+and+Innovation</w:t>
        </w:r>
      </w:hyperlink>
    </w:p>
    <w:bookmarkEnd w:id="109"/>
    <w:bookmarkStart w:id="111"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0">
        <w:r>
          <w:rPr>
            <w:rStyle w:val="Hyperlink"/>
          </w:rPr>
          <w:t xml:space="preserve">10.1016/j.cmpb.2021.106394</w:t>
        </w:r>
      </w:hyperlink>
    </w:p>
    <w:bookmarkEnd w:id="111"/>
    <w:bookmarkStart w:id="113"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2">
        <w:r>
          <w:rPr>
            <w:rStyle w:val="Hyperlink"/>
          </w:rPr>
          <w:t xml:space="preserve">https://www.ohdsi.org/2022showcase-33/</w:t>
        </w:r>
      </w:hyperlink>
    </w:p>
    <w:bookmarkEnd w:id="113"/>
    <w:bookmarkStart w:id="115"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4">
        <w:r>
          <w:rPr>
            <w:rStyle w:val="Hyperlink"/>
          </w:rPr>
          <w:t xml:space="preserve">10.1016/j.jbi.2024.104661</w:t>
        </w:r>
      </w:hyperlink>
    </w:p>
    <w:bookmarkEnd w:id="115"/>
    <w:bookmarkStart w:id="117"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16">
        <w:r>
          <w:rPr>
            <w:rStyle w:val="Hyperlink"/>
          </w:rPr>
          <w:t xml:space="preserve">10.1183/23120541.00168-2022</w:t>
        </w:r>
      </w:hyperlink>
    </w:p>
    <w:bookmarkEnd w:id="117"/>
    <w:bookmarkStart w:id="119"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18">
        <w:r>
          <w:rPr>
            <w:rStyle w:val="Hyperlink"/>
          </w:rPr>
          <w:t xml:space="preserve">https://www.ohdsi-europe.org/images/symposium-2024/Posters/poster%20OHDSI%20FHIN%20Camille%20Deltomme%20-%20Camille%20Deltomme.pdf</w:t>
        </w:r>
      </w:hyperlink>
    </w:p>
    <w:bookmarkEnd w:id="119"/>
    <w:bookmarkStart w:id="121"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0">
        <w:r>
          <w:rPr>
            <w:rStyle w:val="Hyperlink"/>
          </w:rPr>
          <w:t xml:space="preserve">https://www.ncbi.nlm.nih.gov/pmc/articles/PMC8075508/</w:t>
        </w:r>
      </w:hyperlink>
    </w:p>
    <w:bookmarkEnd w:id="121"/>
    <w:bookmarkStart w:id="123"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2">
        <w:r>
          <w:rPr>
            <w:rStyle w:val="Hyperlink"/>
          </w:rPr>
          <w:t xml:space="preserve">10.1007/978-981-15-6315-7_7</w:t>
        </w:r>
      </w:hyperlink>
    </w:p>
    <w:bookmarkEnd w:id="123"/>
    <w:bookmarkStart w:id="125"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4">
        <w:r>
          <w:rPr>
            <w:rStyle w:val="Hyperlink"/>
          </w:rPr>
          <w:t xml:space="preserve">10.3233/SHTI220682</w:t>
        </w:r>
      </w:hyperlink>
    </w:p>
    <w:bookmarkEnd w:id="125"/>
    <w:bookmarkStart w:id="127"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26">
        <w:r>
          <w:rPr>
            <w:rStyle w:val="Hyperlink"/>
          </w:rPr>
          <w:t xml:space="preserve">10.1093/jamia/ocac105</w:t>
        </w:r>
      </w:hyperlink>
    </w:p>
    <w:bookmarkEnd w:id="127"/>
    <w:bookmarkStart w:id="129"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28">
        <w:r>
          <w:rPr>
            <w:rStyle w:val="Hyperlink"/>
          </w:rPr>
          <w:t xml:space="preserve">10.1093/jamia/ocad235</w:t>
        </w:r>
      </w:hyperlink>
    </w:p>
    <w:bookmarkEnd w:id="129"/>
    <w:bookmarkStart w:id="131"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0">
        <w:r>
          <w:rPr>
            <w:rStyle w:val="Hyperlink"/>
          </w:rPr>
          <w:t xml:space="preserve">10.1016/j.csbj.2024.02.014</w:t>
        </w:r>
      </w:hyperlink>
    </w:p>
    <w:bookmarkEnd w:id="131"/>
    <w:bookmarkStart w:id="133"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2">
        <w:r>
          <w:rPr>
            <w:rStyle w:val="Hyperlink"/>
          </w:rPr>
          <w:t xml:space="preserve">10.1371/journal.pone.0223010</w:t>
        </w:r>
      </w:hyperlink>
    </w:p>
    <w:bookmarkEnd w:id="133"/>
    <w:bookmarkStart w:id="135"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4">
        <w:r>
          <w:rPr>
            <w:rStyle w:val="Hyperlink"/>
          </w:rPr>
          <w:t xml:space="preserve">10.1016/j.jbi.2023.104338</w:t>
        </w:r>
      </w:hyperlink>
    </w:p>
    <w:bookmarkEnd w:id="135"/>
    <w:bookmarkStart w:id="137"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36">
        <w:r>
          <w:rPr>
            <w:rStyle w:val="Hyperlink"/>
          </w:rPr>
          <w:t xml:space="preserve">10.1016/j.ijmedinf.2022.104925</w:t>
        </w:r>
      </w:hyperlink>
    </w:p>
    <w:bookmarkEnd w:id="137"/>
    <w:bookmarkStart w:id="139"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38">
        <w:r>
          <w:rPr>
            <w:rStyle w:val="Hyperlink"/>
          </w:rPr>
          <w:t xml:space="preserve">https://omoponfhir.org/</w:t>
        </w:r>
      </w:hyperlink>
    </w:p>
    <w:bookmarkEnd w:id="139"/>
    <w:bookmarkStart w:id="141"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0">
        <w:r>
          <w:rPr>
            <w:rStyle w:val="Hyperlink"/>
          </w:rPr>
          <w:t xml:space="preserve">10.1109/TKDE.2023.3270101</w:t>
        </w:r>
      </w:hyperlink>
    </w:p>
    <w:bookmarkEnd w:id="141"/>
    <w:bookmarkStart w:id="143"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2">
        <w:r>
          <w:rPr>
            <w:rStyle w:val="Hyperlink"/>
          </w:rPr>
          <w:t xml:space="preserve">10.1109/BigData55660.2022.10020719</w:t>
        </w:r>
      </w:hyperlink>
    </w:p>
    <w:bookmarkEnd w:id="143"/>
    <w:bookmarkStart w:id="145"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4">
        <w:r>
          <w:rPr>
            <w:rStyle w:val="Hyperlink"/>
          </w:rPr>
          <w:t xml:space="preserve">10.2139/ssrn.4765588</w:t>
        </w:r>
      </w:hyperlink>
    </w:p>
    <w:bookmarkEnd w:id="145"/>
    <w:bookmarkStart w:id="147" w:name="ref-pedreira2023composable"/>
    <w:p>
      <w:pPr>
        <w:pStyle w:val="Bibliography"/>
      </w:pPr>
      <w:r>
        <w:t xml:space="preserve">45.</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46">
        <w:r>
          <w:rPr>
            <w:rStyle w:val="Hyperlink"/>
          </w:rPr>
          <w:t xml:space="preserve">10.14778/3603581.3603604</w:t>
        </w:r>
      </w:hyperlink>
    </w:p>
    <w:bookmarkEnd w:id="147"/>
    <w:bookmarkStart w:id="148" w:name="ref-armbrust2021lakehouse"/>
    <w:p>
      <w:pPr>
        <w:pStyle w:val="Bibliography"/>
      </w:pPr>
      <w:r>
        <w:t xml:space="preserve">46.</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8"/>
    <w:bookmarkStart w:id="150"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49">
        <w:r>
          <w:rPr>
            <w:rStyle w:val="Hyperlink"/>
          </w:rPr>
          <w:t xml:space="preserve">https://arrow.apache.org/</w:t>
        </w:r>
      </w:hyperlink>
    </w:p>
    <w:bookmarkEnd w:id="150"/>
    <w:bookmarkStart w:id="152"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1">
        <w:r>
          <w:rPr>
            <w:rStyle w:val="Hyperlink"/>
          </w:rPr>
          <w:t xml:space="preserve">https://parquet.apache.org/</w:t>
        </w:r>
      </w:hyperlink>
    </w:p>
    <w:bookmarkEnd w:id="152"/>
    <w:bookmarkStart w:id="153"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53"/>
    <w:bookmarkStart w:id="155"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54">
        <w:r>
          <w:rPr>
            <w:rStyle w:val="Hyperlink"/>
          </w:rPr>
          <w:t xml:space="preserve">https://iceberg.apache.org/</w:t>
        </w:r>
      </w:hyperlink>
    </w:p>
    <w:bookmarkEnd w:id="155"/>
    <w:bookmarkStart w:id="157" w:name="ref-duckdb"/>
    <w:p>
      <w:pPr>
        <w:pStyle w:val="Bibliography"/>
      </w:pPr>
      <w:r>
        <w:t xml:space="preserve">51.</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56">
        <w:r>
          <w:rPr>
            <w:rStyle w:val="Hyperlink"/>
          </w:rPr>
          <w:t xml:space="preserve">https://duckdb.org/</w:t>
        </w:r>
      </w:hyperlink>
    </w:p>
    <w:bookmarkEnd w:id="157"/>
    <w:bookmarkStart w:id="159"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58">
        <w:r>
          <w:rPr>
            <w:rStyle w:val="Hyperlink"/>
          </w:rPr>
          <w:t xml:space="preserve">10.7189/jogh.12.04090</w:t>
        </w:r>
      </w:hyperlink>
    </w:p>
    <w:bookmarkEnd w:id="159"/>
    <w:bookmarkStart w:id="161"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0">
        <w:r>
          <w:rPr>
            <w:rStyle w:val="Hyperlink"/>
          </w:rPr>
          <w:t xml:space="preserve">https://ohie.org/</w:t>
        </w:r>
      </w:hyperlink>
    </w:p>
    <w:bookmarkEnd w:id="161"/>
    <w:bookmarkStart w:id="163"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2">
        <w:r>
          <w:rPr>
            <w:rStyle w:val="Hyperlink"/>
          </w:rPr>
          <w:t xml:space="preserve">10.1371/journal.pdig.0000118</w:t>
        </w:r>
      </w:hyperlink>
    </w:p>
    <w:bookmarkEnd w:id="163"/>
    <w:bookmarkStart w:id="165"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64">
        <w:r>
          <w:rPr>
            <w:rStyle w:val="Hyperlink"/>
          </w:rPr>
          <w:t xml:space="preserve">10.1055/s-0043-1768711</w:t>
        </w:r>
      </w:hyperlink>
    </w:p>
    <w:bookmarkEnd w:id="165"/>
    <w:bookmarkStart w:id="166"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66"/>
    <w:bookmarkStart w:id="168"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67">
        <w:r>
          <w:rPr>
            <w:rStyle w:val="Hyperlink"/>
          </w:rPr>
          <w:t xml:space="preserve">10.1186/s12911-021-01499-6</w:t>
        </w:r>
      </w:hyperlink>
    </w:p>
    <w:bookmarkEnd w:id="168"/>
    <w:bookmarkStart w:id="170"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69">
        <w:r>
          <w:rPr>
            <w:rStyle w:val="Hyperlink"/>
          </w:rPr>
          <w:t xml:space="preserve">https://hapifhir.io/</w:t>
        </w:r>
      </w:hyperlink>
    </w:p>
    <w:bookmarkEnd w:id="170"/>
    <w:bookmarkStart w:id="172"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1">
        <w:r>
          <w:rPr>
            <w:rStyle w:val="Hyperlink"/>
          </w:rPr>
          <w:t xml:space="preserve">10.2196/medinform.8131</w:t>
        </w:r>
      </w:hyperlink>
    </w:p>
    <w:bookmarkEnd w:id="172"/>
    <w:bookmarkStart w:id="174"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73">
        <w:r>
          <w:rPr>
            <w:rStyle w:val="Hyperlink"/>
          </w:rPr>
          <w:t xml:space="preserve">https://lib.digitalsquare.io/handle/123456789/77592</w:t>
        </w:r>
      </w:hyperlink>
    </w:p>
    <w:bookmarkEnd w:id="174"/>
    <w:bookmarkStart w:id="176"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75">
        <w:r>
          <w:rPr>
            <w:rStyle w:val="Hyperlink"/>
          </w:rPr>
          <w:t xml:space="preserve">https://developers.google.com/open-health-stack</w:t>
        </w:r>
      </w:hyperlink>
    </w:p>
    <w:bookmarkEnd w:id="176"/>
    <w:bookmarkStart w:id="178"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77">
        <w:r>
          <w:rPr>
            <w:rStyle w:val="Hyperlink"/>
          </w:rPr>
          <w:t xml:space="preserve">https://www.sid-indonesia.org/post/bunda-app</w:t>
        </w:r>
      </w:hyperlink>
    </w:p>
    <w:bookmarkEnd w:id="178"/>
    <w:bookmarkStart w:id="180"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79">
        <w:r>
          <w:rPr>
            <w:rStyle w:val="Hyperlink"/>
          </w:rPr>
          <w:t xml:space="preserve">10.2991/ichs-18.2019.21</w:t>
        </w:r>
      </w:hyperlink>
    </w:p>
    <w:bookmarkEnd w:id="180"/>
    <w:bookmarkStart w:id="182"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1">
        <w:r>
          <w:rPr>
            <w:rStyle w:val="Hyperlink"/>
          </w:rPr>
          <w:t xml:space="preserve">https://beda.software/emr</w:t>
        </w:r>
      </w:hyperlink>
    </w:p>
    <w:bookmarkEnd w:id="182"/>
    <w:bookmarkStart w:id="184" w:name="ref-fhirconnectspec"/>
    <w:p>
      <w:pPr>
        <w:pStyle w:val="Bibliography"/>
      </w:pPr>
      <w:r>
        <w:t xml:space="preserve">65.</w:t>
      </w:r>
      <w:r>
        <w:t xml:space="preserve"> </w:t>
      </w:r>
      <w:r>
        <w:t xml:space="preserve">	</w:t>
      </w:r>
      <w:r>
        <w:t xml:space="preserve">FHIR Connect</w:t>
      </w:r>
      <w:r>
        <w:t xml:space="preserve"> </w:t>
      </w:r>
      <w:r>
        <w:t xml:space="preserve">specfication. Published online October 10, 2024. Accessed February 4, 2025.</w:t>
      </w:r>
      <w:r>
        <w:t xml:space="preserve"> </w:t>
      </w:r>
      <w:hyperlink r:id="rId183">
        <w:r>
          <w:rPr>
            <w:rStyle w:val="Hyperlink"/>
          </w:rPr>
          <w:t xml:space="preserve">https://github.com/better-care/fhir-connect-mapping-spec</w:t>
        </w:r>
      </w:hyperlink>
    </w:p>
    <w:bookmarkEnd w:id="184"/>
    <w:bookmarkStart w:id="186" w:name="ref-openfhir"/>
    <w:p>
      <w:pPr>
        <w:pStyle w:val="Bibliography"/>
      </w:pPr>
      <w:r>
        <w:t xml:space="preserve">66.</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185">
        <w:r>
          <w:rPr>
            <w:rStyle w:val="Hyperlink"/>
          </w:rPr>
          <w:t xml:space="preserve">https://open-fhir.com/documentation/index.html</w:t>
        </w:r>
      </w:hyperlink>
    </w:p>
    <w:bookmarkEnd w:id="186"/>
    <w:bookmarkStart w:id="188" w:name="ref-pohjonen2022norway"/>
    <w:p>
      <w:pPr>
        <w:pStyle w:val="Bibliography"/>
      </w:pPr>
      <w:r>
        <w:t xml:space="preserve">67.</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187">
        <w:r>
          <w:rPr>
            <w:rStyle w:val="Hyperlink"/>
          </w:rPr>
          <w:t xml:space="preserve">10.1016/B978-0-12-823413-6.00011-2</w:t>
        </w:r>
      </w:hyperlink>
    </w:p>
    <w:bookmarkEnd w:id="188"/>
    <w:bookmarkStart w:id="190" w:name="ref-clickhouse"/>
    <w:p>
      <w:pPr>
        <w:pStyle w:val="Bibliography"/>
      </w:pPr>
      <w:r>
        <w:t xml:space="preserve">68.</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89">
        <w:r>
          <w:rPr>
            <w:rStyle w:val="Hyperlink"/>
          </w:rPr>
          <w:t xml:space="preserve">https://clickhouse.com</w:t>
        </w:r>
      </w:hyperlink>
    </w:p>
    <w:bookmarkEnd w:id="190"/>
    <w:bookmarkStart w:id="192" w:name="ref-dbt"/>
    <w:p>
      <w:pPr>
        <w:pStyle w:val="Bibliography"/>
      </w:pPr>
      <w:r>
        <w:t xml:space="preserve">69.</w:t>
      </w:r>
      <w:r>
        <w:t xml:space="preserve"> </w:t>
      </w:r>
      <w:r>
        <w:t xml:space="preserve">	</w:t>
      </w:r>
      <w:r>
        <w:t xml:space="preserve">Dbt. Accessed September 20, 2024.</w:t>
      </w:r>
      <w:r>
        <w:t xml:space="preserve"> </w:t>
      </w:r>
      <w:hyperlink r:id="rId191">
        <w:r>
          <w:rPr>
            <w:rStyle w:val="Hyperlink"/>
          </w:rPr>
          <w:t xml:space="preserve">https://www.getdbt.com/index</w:t>
        </w:r>
      </w:hyperlink>
    </w:p>
    <w:bookmarkEnd w:id="192"/>
    <w:bookmarkStart w:id="194" w:name="ref-balch2023machine"/>
    <w:p>
      <w:pPr>
        <w:pStyle w:val="Bibliography"/>
      </w:pPr>
      <w:r>
        <w:t xml:space="preserve">70.</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3">
        <w:r>
          <w:rPr>
            <w:rStyle w:val="Hyperlink"/>
          </w:rPr>
          <w:t xml:space="preserve">10.2196/48297</w:t>
        </w:r>
      </w:hyperlink>
    </w:p>
    <w:bookmarkEnd w:id="194"/>
    <w:bookmarkStart w:id="196" w:name="ref-digitalpublicgoods"/>
    <w:p>
      <w:pPr>
        <w:pStyle w:val="Bibliography"/>
      </w:pPr>
      <w:r>
        <w:t xml:space="preserve">71.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5">
        <w:r>
          <w:rPr>
            <w:rStyle w:val="Hyperlink"/>
          </w:rPr>
          <w:t xml:space="preserve">https://digitalpublicgoods.net/</w:t>
        </w:r>
      </w:hyperlink>
    </w:p>
    <w:bookmarkEnd w:id="196"/>
    <w:bookmarkStart w:id="198" w:name="ref-instant-openhie-v2"/>
    <w:p>
      <w:pPr>
        <w:pStyle w:val="Bibliography"/>
      </w:pPr>
      <w:r>
        <w:t xml:space="preserve">72.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7">
        <w:r>
          <w:rPr>
            <w:rStyle w:val="Hyperlink"/>
          </w:rPr>
          <w:t xml:space="preserve">https://jembi.gitbook.io/instant-v2/</w:t>
        </w:r>
      </w:hyperlink>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2025-02-05T16:30:44Z</dcterms:created>
  <dcterms:modified xsi:type="dcterms:W3CDTF">2025-02-05T16:30:44Z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