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9.png" ContentType="image/png"/>
  <Override PartName="/word/media/rId48.png" ContentType="image/png"/>
  <Override PartName="/word/media/rId54.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exists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(Tsafnat et al. 2024)</w:t>
      </w:r>
      <w:r>
        <w:t xml:space="preserve">. To do so, they propose to converge on three open standards, namely i) openEHR for clinical care and administration; ii) Fast Health Interoperability Resources (FHIR) for data exhange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(de Reuver, Sørensen, and Basole 2018)</w:t>
      </w:r>
      <w:r>
        <w:t xml:space="preserve"> </w:t>
      </w:r>
      <w:r>
        <w:t xml:space="preserve">and the paradox of open</w:t>
      </w:r>
      <w:r>
        <w:t xml:space="preserve"> </w:t>
      </w:r>
      <w:r>
        <w:t xml:space="preserve">(Keller and Tarkowski 2021)</w:t>
      </w:r>
      <w:r>
        <w:t xml:space="preserve">. Subsequently, we outline the importance of the open source ecosystem by presenting findings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9"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Besides the paradox of interoperability put forward by Tsafnat et al., we argue that open standards are a necessary, but not sufficient condition for convergence of health data standarization. Open source implementations of components, such as software development kits etc. constitute another necessary condition for establishing a flourishing health data sharing platform and associated ecosystem for any given context, be it regional, international or within a specific domain like pandemic preparedness. Research on digital platforms underline the importance of the platform openness, not only in term of open standards, but also in term of extensibility of the code base, availibility of complements to the core technical platform (in our case the data standard itself) and availibility of executable pieces of software</w:t>
      </w:r>
      <w:r>
        <w:t xml:space="preserve"> </w:t>
      </w:r>
      <w:r>
        <w:t xml:space="preserve">(de Reuver, Sørensen, and Basole 2018)</w:t>
      </w:r>
      <w:r>
        <w:t xml:space="preserve">. Only when the majority of these aspects of digital platforms are met can we resonably expect that the platform will indeed be longlived.</w:t>
      </w:r>
    </w:p>
    <w:p>
      <w:pPr>
        <w:pStyle w:val="BodyText"/>
      </w:pPr>
      <w:r>
        <w:t xml:space="preserve">In what they call the paradox of open, Keller and Tarkowsi argue that this conventional approach of open standards and open source components flourish under two types of conditions</w:t>
      </w:r>
      <w:r>
        <w:t xml:space="preserve"> </w:t>
      </w:r>
      <w:r>
        <w:t xml:space="preserve">(Keller and Tarkowski 2021)</w:t>
      </w:r>
      <w:r>
        <w:t xml:space="preserve">. First, projects where many people contribute to the creation of a common resource have proven succesful.</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(Keller and Tarkowski 2021)</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and indirectly,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(Reynolds and Wyatt 2011)</w:t>
      </w:r>
      <w:r>
        <w:t xml:space="preserve">. We believe that a realistic assessment of the current position of an open standard within the wider context of availability of complementary components and open source implementations is equally important when choosing which standard to adopt.</w:t>
      </w:r>
    </w:p>
    <w:p>
      <w:pPr>
        <w:pStyle w:val="BodyText"/>
      </w:pPr>
      <w:r>
        <w:t xml:space="preserve">This point is related to the second condition put forward by Keller and Tarkoswki, namely that the conventional open approach has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w:t>
      </w:r>
      <w:r>
        <w:t xml:space="preserve"> </w:t>
      </w:r>
      <w:r>
        <w:t xml:space="preserve">“</w:t>
      </w:r>
      <w:r>
        <w:t xml:space="preserve">This is the story of publicly-funded knowledge production like Open Access academic publications, cultural heritage collections in the Public Domain, Open Educational Resources (OER), and Open Government data.</w:t>
      </w:r>
      <w:r>
        <w:t xml:space="preserve">”</w:t>
      </w:r>
      <w:r>
        <w:t xml:space="preserve"> </w:t>
      </w:r>
      <w:r>
        <w:t xml:space="preserve">(Keller and Tarkowski 2021)</w:t>
      </w:r>
      <w:r>
        <w:t xml:space="preserve"> </w:t>
      </w:r>
      <w:r>
        <w:t xml:space="preserve">A canonical example is the birth of the GSM standard, which was mandated by European legislation.</w:t>
      </w:r>
      <w:r>
        <w:rPr>
          <w:rStyle w:val="FootnoteReference"/>
        </w:rPr>
        <w:footnoteReference w:id="21"/>
      </w:r>
      <w:r>
        <w:t xml:space="preserve"> </w:t>
      </w:r>
      <w:r>
        <w:t xml:space="preserve">Reflecting on this perspective on openness,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(Firely 2023)</w:t>
      </w:r>
      <w:r>
        <w:t xml:space="preserve">. In India, the open Health Claims Exchange protocol specification - which is based on FHIR - has been mandated by the Indian government as the standard for e-claims handling</w:t>
      </w:r>
      <w:r>
        <w:t xml:space="preserve"> </w:t>
      </w:r>
      <w:r>
        <w:t xml:space="preserve">(</w:t>
      </w:r>
      <w:r>
        <w:t xml:space="preserve">“National</w:t>
      </w:r>
      <w:r>
        <w:t xml:space="preserve"> </w:t>
      </w:r>
      <w:r>
        <w:t xml:space="preserve">Digital Health Mission</w:t>
      </w:r>
      <w:r>
        <w:t xml:space="preserve">”</w:t>
      </w:r>
      <w:r>
        <w:t xml:space="preserve"> </w:t>
      </w:r>
      <w:r>
        <w:t xml:space="preserve">2020;</w:t>
      </w:r>
      <w:r>
        <w:t xml:space="preserve"> </w:t>
      </w:r>
      <w:r>
        <w:t xml:space="preserve">“</w:t>
      </w:r>
      <w:r>
        <w:t xml:space="preserve">HCX Protocol</w:t>
      </w:r>
      <w:r>
        <w:t xml:space="preserve"> </w:t>
      </w:r>
      <w:r>
        <w:t xml:space="preserve">V0.9”</w:t>
      </w:r>
      <w:r>
        <w:t xml:space="preserve"> </w:t>
      </w:r>
      <w:r>
        <w:t xml:space="preserve">2023)</w:t>
      </w:r>
      <w:r>
        <w:t xml:space="preserve">. The African Union recommends all new implementations and digital health system improvements use FHIR as the primary mechanism for data exchange</w:t>
      </w:r>
      <w:r>
        <w:t xml:space="preserve"> </w:t>
      </w:r>
      <w:r>
        <w:t xml:space="preserve">(Tilahun et al. 2023)</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(Mandl et al. 2020; Jones et al. 2021)</w:t>
      </w:r>
      <w:r>
        <w:t xml:space="preserve">, and the the SQL-on-FHIR specification to make large-scale analysis of FHIR data accessible to a larger audience and portable between systems.</w:t>
      </w:r>
      <w:r>
        <w:rPr>
          <w:rStyle w:val="FootnoteReference"/>
        </w:rPr>
        <w:footnoteReference w:id="23"/>
      </w:r>
      <w:r>
        <w:t xml:space="preserve"> </w:t>
      </w:r>
      <w:r>
        <w:t xml:space="preserve">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 OHDSI and openEHR, indicates that the ecosystem of FHIR and OMOP have a significantly larger offering of extensible and complementary open source components than openEHR, although for the latter notable mature open source implementation are also emerging such as EHRbase.</w:t>
      </w:r>
      <w:r>
        <w:rPr>
          <w:rStyle w:val="FootnoteReference"/>
        </w:rPr>
        <w:footnoteReference w:id="25"/>
      </w:r>
    </w:p>
    <w:p>
      <w:pPr>
        <w:pStyle w:val="BodyText"/>
      </w:pPr>
      <w:r>
        <w:t xml:space="preserve">Hence, we stress that beyond evaluating the instrinic structure of an open standard and the community that supports the standard, we need to take into account the wider ecosystem of open 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c.q. contexts where these considerations are at play.</w:t>
      </w:r>
    </w:p>
    <w:bookmarkEnd w:id="29"/>
    <w:bookmarkStart w:id="47"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(Rieke et al. 2020; Teo et al. 2024)</w:t>
      </w:r>
      <w:r>
        <w:t xml:space="preserve">. Based on ongoing work with the PLUGIN healthcare consortium (</w:t>
      </w:r>
      <w:hyperlink r:id="rId30">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(Health-RI 2024)</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(Health-RI 2024)</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4" w:name="fig-healthri-architecture"/>
          <w:p>
            <w:pPr>
              <w:pStyle w:val="Compact"/>
              <w:jc w:val="center"/>
            </w:pPr>
            <w:r>
              <w:drawing>
                <wp:inline>
                  <wp:extent cx="5334000" cy="3908821"/>
                  <wp:effectExtent b="0" l="0" r="0" t="0"/>
                  <wp:docPr descr="" title="" id="32" name="Picture"/>
                  <a:graphic>
                    <a:graphicData uri="http://schemas.openxmlformats.org/drawingml/2006/picture">
                      <pic:pic>
                        <pic:nvPicPr>
                          <pic:cNvPr descr="health-ri-architecture.png" id="33" name="Picture"/>
                          <pic:cNvPicPr>
                            <a:picLocks noChangeArrowheads="1" noChangeAspect="1"/>
                          </pic:cNvPicPr>
                        </pic:nvPicPr>
                        <pic:blipFill>
                          <a:blip r:embed="rId31"/>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(Health-RI 2024)</w:t>
            </w:r>
          </w:p>
          <w:bookmarkEnd w:id="34"/>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(Khalid et al. 2021)</w:t>
      </w:r>
      <w:r>
        <w:t xml:space="preserve">, FeederNet in South Korea with 57 participating hospitals</w:t>
      </w:r>
      <w:r>
        <w:t xml:space="preserve"> </w:t>
      </w:r>
      <w:r>
        <w:t xml:space="preserve">(Lee et al. 2022)</w:t>
      </w:r>
      <w:r>
        <w:t xml:space="preserve">, Dutch multi-cohort dementia research with 9 centres</w:t>
      </w:r>
      <w:r>
        <w:t xml:space="preserve"> </w:t>
      </w:r>
      <w:r>
        <w:t xml:space="preserve">(Mateus et al. 2024)</w:t>
      </w:r>
      <w:r>
        <w:t xml:space="preserve">, the European severe heterogeneous asthma research collaboration</w:t>
      </w:r>
      <w:r>
        <w:t xml:space="preserve"> </w:t>
      </w:r>
      <w:r>
        <w:t xml:space="preserve">(Kroes et al. 2022)</w:t>
      </w:r>
      <w:r>
        <w:t xml:space="preserve"> </w:t>
      </w:r>
      <w:r>
        <w:t xml:space="preserve">and the recently initiated Belgian Federated Health Innovation Network (FHIN)</w:t>
      </w:r>
      <w:r>
        <w:t xml:space="preserve"> </w:t>
      </w:r>
      <w:r>
        <w:rPr>
          <w:rStyle w:val="FootnoteReference"/>
        </w:rPr>
        <w:footnoteReference w:id="35"/>
      </w:r>
      <w:r>
        <w:t xml:space="preserv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(Choudhury et al. 2020; Smits et al. 2022)</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(Mullie et al. 2023)</w:t>
      </w:r>
      <w:r>
        <w:t xml:space="preserve">. The fair4health project used FHIR as part of a FAIRification workflow to simplify the process of data extraction and preparation for clinical study analyses</w:t>
      </w:r>
      <w:r>
        <w:t xml:space="preserve"> </w:t>
      </w:r>
      <w:r>
        <w:t xml:space="preserve">(Sinaci et al. 2024)</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(Gruendner et al. 2019)</w:t>
      </w:r>
      <w:r>
        <w:t xml:space="preserve">, and the preliminary findings from the European GenoMed4All project which aims to connect clinical and -omics data</w:t>
      </w:r>
      <w:r>
        <w:t xml:space="preserve"> </w:t>
      </w:r>
      <w:r>
        <w:t xml:space="preserve">(Cremonesi et al. 2023)</w:t>
      </w:r>
      <w:r>
        <w:t xml:space="preserve">. A collaboration of 10 university hospitals in Germany have shown that standardized ETL-processing from FHIR into OMOP can achieve 99% conformance</w:t>
      </w:r>
      <w:r>
        <w:t xml:space="preserve"> </w:t>
      </w:r>
      <w:r>
        <w:t xml:space="preserve">(Peng et al. 2023)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rPr>
          <w:rStyle w:val="FootnoteReference"/>
        </w:rPr>
        <w:footnoteReference w:id="37"/>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42" w:name="fig-late-binding"/>
          <w:p>
            <w:pPr>
              <w:pStyle w:val="Compact"/>
              <w:jc w:val="center"/>
            </w:pPr>
            <w:r>
              <w:drawing>
                <wp:inline>
                  <wp:extent cx="5334000" cy="2736938"/>
                  <wp:effectExtent b="0" l="0" r="0" t="0"/>
                  <wp:docPr descr="" title="" id="40" name="Picture"/>
                  <a:graphic>
                    <a:graphicData uri="http://schemas.openxmlformats.org/drawingml/2006/picture">
                      <pic:pic>
                        <pic:nvPicPr>
                          <pic:cNvPr descr="late-binding.png" id="41" name="Picture"/>
                          <pic:cNvPicPr>
                            <a:picLocks noChangeArrowheads="1" noChangeAspect="1"/>
                          </pic:cNvPicPr>
                        </pic:nvPicPr>
                        <pic:blipFill>
                          <a:blip r:embed="rId39"/>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42"/>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(Hai et al. 2023; Harby and Zulkernine 2022, 2024)</w:t>
      </w:r>
      <w:r>
        <w:t xml:space="preserve"> </w:t>
      </w:r>
      <w:r>
        <w:t xml:space="preserve">and the composable data stack</w:t>
      </w:r>
      <w:r>
        <w:t xml:space="preserve"> </w:t>
      </w:r>
      <w:r>
        <w:t xml:space="preserve">(Pedreira et al. 2023)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(Hai et al. 2023)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(Armbrust et al. 2021)</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 source components, most notably Apache Arrow as the standard columnar in-memory format with RPC-based data movement; Apache Parquet as the standard columnar on-disk format; and Apache Iceberg as the open table format</w:t>
      </w:r>
      <w:r>
        <w:t xml:space="preserve"> </w:t>
      </w:r>
      <w:r>
        <w:t xml:space="preserve">(Jain et al. 2023)</w:t>
      </w:r>
      <w:r>
        <w:t xml:space="preserve">.</w:t>
      </w:r>
      <w:r>
        <w:rPr>
          <w:rStyle w:val="FootnoteReference"/>
        </w:rPr>
        <w:footnoteReference w:id="43"/>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47"/>
    <w:bookmarkStart w:id="70"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(Karamagi et al. 2022)</w:t>
      </w:r>
      <w:r>
        <w:t xml:space="preserve">. Mehl et al. have called for convergence to open standards, similar to Tsafnat et al., but additionally stress the need for open source technologies (our main argument of this paper), open content (representations of public health, health system or clinical knowledge to guide implementations) and open architectures (reusable enterprise architecture patterns for health systems)</w:t>
      </w:r>
      <w:r>
        <w:t xml:space="preserve"> </w:t>
      </w:r>
      <w:r>
        <w:t xml:space="preserve">(G. L. Mehl et al. 2023)</w:t>
      </w:r>
      <w:r>
        <w:t xml:space="preserve">. As for the open architecture, we see a convergence towards the OpenHIE framework</w:t>
      </w:r>
      <w:r>
        <w:t xml:space="preserve"> </w:t>
      </w:r>
      <w:r>
        <w:t xml:space="preserve">(</w:t>
      </w:r>
      <w:r>
        <w:t xml:space="preserve">“</w:t>
      </w:r>
      <w:r>
        <w:t xml:space="preserve">OpenHIE Framework</w:t>
      </w:r>
      <w:r>
        <w:t xml:space="preserve"> </w:t>
      </w:r>
      <w:r>
        <w:t xml:space="preserve">V5.2-En”</w:t>
      </w:r>
      <w:r>
        <w:t xml:space="preserve"> </w:t>
      </w:r>
      <w:r>
        <w:t xml:space="preserve">2024)</w:t>
      </w:r>
      <w:r>
        <w:t xml:space="preserve">, which has been adopted by many sub-Saharan African countries as the architectural blueprint for implementing nation-wide health information exchanges (HIE)</w:t>
      </w:r>
      <w:r>
        <w:t xml:space="preserve"> </w:t>
      </w:r>
      <w:r>
        <w:t xml:space="preserve">(Mamuye et al. 2022)</w:t>
      </w:r>
      <w:r>
        <w:t xml:space="preserve">, including Nigeria</w:t>
      </w:r>
      <w:r>
        <w:t xml:space="preserve"> </w:t>
      </w:r>
      <w:r>
        <w:t xml:space="preserve">(Dalhatu et al. 2023)</w:t>
      </w:r>
      <w:r>
        <w:t xml:space="preserve">, Kenya</w:t>
      </w:r>
      <w:r>
        <w:t xml:space="preserve"> </w:t>
      </w:r>
      <w:r>
        <w:t xml:space="preserve">(Thaiya et al. 2021)</w:t>
      </w:r>
      <w:r>
        <w:t xml:space="preserve"> </w:t>
      </w:r>
      <w:r>
        <w:t xml:space="preserve">and Tanzania</w:t>
      </w:r>
      <w:r>
        <w:t xml:space="preserve"> </w:t>
      </w:r>
      <w:r>
        <w:t xml:space="preserve">(Nsaghurwe et al. 2021)</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51" w:name="fig-openhie"/>
          <w:p>
            <w:pPr>
              <w:pStyle w:val="Compact"/>
              <w:jc w:val="center"/>
            </w:pPr>
            <w:r>
              <w:drawing>
                <wp:inline>
                  <wp:extent cx="5334000" cy="3798031"/>
                  <wp:effectExtent b="0" l="0" r="0" t="0"/>
                  <wp:docPr descr="" title="" id="49" name="Picture"/>
                  <a:graphic>
                    <a:graphicData uri="http://schemas.openxmlformats.org/drawingml/2006/picture">
                      <pic:pic>
                        <pic:nvPicPr>
                          <pic:cNvPr descr="openhie.png" id="50" name="Picture"/>
                          <pic:cNvPicPr>
                            <a:picLocks noChangeArrowheads="1" noChangeAspect="1"/>
                          </pic:cNvPicPr>
                        </pic:nvPicPr>
                        <pic:blipFill>
                          <a:blip r:embed="rId48"/>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51"/>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which is currently the largest open source implementation of the OpenHIE specification</w:t>
      </w:r>
      <w:r>
        <w:t xml:space="preserve"> </w:t>
      </w:r>
      <w:hyperlink w:anchor="fig-openhim-platform">
        <w:r>
          <w:rPr>
            <w:rStyle w:val="Hyperlink"/>
          </w:rPr>
          <w:t xml:space="preserve">Figure 4</w:t>
        </w:r>
      </w:hyperlink>
      <w:r>
        <w:t xml:space="preserve">.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 source implementations.</w:t>
      </w:r>
      <w:r>
        <w:rPr>
          <w:rStyle w:val="FootnoteReference"/>
        </w:rPr>
        <w:footnoteReference w:id="52"/>
      </w:r>
    </w:p>
    <w:tbl>
      <w:tblPr>
        <w:tblStyle w:val="Table"/>
        <w:tblW w:type="pct" w:w="5000"/>
        <w:tblLook w:firstRow="0" w:lastRow="0" w:firstColumn="0" w:lastColumn="0" w:noHBand="0" w:noVBand="0" w:val="0000"/>
        <w:jc w:val="start"/>
        <w:tblLayout w:type="fixed"/>
      </w:tblPr>
      <w:tblGrid>
        <w:gridCol w:w="7920"/>
      </w:tblGrid>
      <w:tr>
        <w:tc>
          <w:tcPr/>
          <w:bookmarkStart w:id="58" w:name="fig-openhim-platform"/>
          <w:p>
            <w:pPr>
              <w:pStyle w:val="Compact"/>
              <w:jc w:val="center"/>
            </w:pPr>
            <w:r>
              <w:drawing>
                <wp:inline>
                  <wp:extent cx="5334000" cy="2451215"/>
                  <wp:effectExtent b="0" l="0" r="0" t="0"/>
                  <wp:docPr descr="" title="" id="55" name="Picture"/>
                  <a:graphic>
                    <a:graphicData uri="http://schemas.openxmlformats.org/drawingml/2006/picture">
                      <pic:pic>
                        <pic:nvPicPr>
                          <pic:cNvPr descr="openhim-platform.png" id="56" name="Picture"/>
                          <pic:cNvPicPr>
                            <a:picLocks noChangeArrowheads="1" noChangeAspect="1"/>
                          </pic:cNvPicPr>
                        </pic:nvPicPr>
                        <pic:blipFill>
                          <a:blip r:embed="rId54"/>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57">
              <w:r>
                <w:rPr>
                  <w:rStyle w:val="Hyperlink"/>
                </w:rPr>
                <w:t xml:space="preserve">https://jembi.gitbook.io/</w:t>
              </w:r>
            </w:hyperlink>
            <w:r>
              <w:t xml:space="preserve">.</w:t>
            </w:r>
          </w:p>
          <w:bookmarkEnd w:id="58"/>
        </w:tc>
      </w:tr>
    </w:tbl>
    <w:p>
      <w:pPr>
        <w:pStyle w:val="BodyText"/>
      </w:pPr>
      <w:r>
        <w:t xml:space="preserve">Looking at the Point-of-Service systems, we see that as of today openEHR does not play any role of significance as the standard for clinical administration. Within the context of LMICs, the largest open source EHR implementations are based on proprietary data models, and it is unlikely this will change any time soon</w:t>
      </w:r>
      <w:r>
        <w:t xml:space="preserve"> </w:t>
      </w:r>
      <w:r>
        <w:t xml:space="preserve">(Syzdykova et al. 2017)</w:t>
      </w:r>
      <w:r>
        <w:t xml:space="preserve">. Instead, we see that FHIR-native software development frameworks such as OpenSRP</w:t>
      </w:r>
      <w:r>
        <w:t xml:space="preserve"> </w:t>
      </w:r>
      <w:r>
        <w:t xml:space="preserve">(G. Mehl 2020)</w:t>
      </w:r>
      <w:r>
        <w:t xml:space="preserve"> </w:t>
      </w:r>
      <w:r>
        <w:t xml:space="preserve">and the Open Health Stack</w:t>
      </w:r>
      <w:r>
        <w:rPr>
          <w:rStyle w:val="FootnoteReference"/>
        </w:rPr>
        <w:footnoteReference w:id="59"/>
      </w:r>
      <w:r>
        <w:t xml:space="preserve"> </w:t>
      </w:r>
      <w:r>
        <w:t xml:space="preserve">are being used more and more, where Android apps are used for clinical administration by health professionals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(Summit Institute for Development 2023; Kurniawan et al. 2019)</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clinical administration system of 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65" w:name="fig-opensrp"/>
          <w:p>
            <w:pPr>
              <w:pStyle w:val="Compact"/>
              <w:jc w:val="center"/>
            </w:pPr>
            <w:r>
              <w:drawing>
                <wp:inline>
                  <wp:extent cx="5334000" cy="2353387"/>
                  <wp:effectExtent b="0" l="0" r="0" t="0"/>
                  <wp:docPr descr="" title="" id="62" name="Picture"/>
                  <a:graphic>
                    <a:graphicData uri="http://schemas.openxmlformats.org/drawingml/2006/picture">
                      <pic:pic>
                        <pic:nvPicPr>
                          <pic:cNvPr descr="opensrp.png" id="63" name="Picture"/>
                          <pic:cNvPicPr>
                            <a:picLocks noChangeArrowheads="1" noChangeAspect="1"/>
                          </pic:cNvPicPr>
                        </pic:nvPicPr>
                        <pic:blipFill>
                          <a:blip r:embed="rId6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 source framework for building clinical administration apps. HIS: health information systems. Image source:</w:t>
            </w:r>
            <w:r>
              <w:t xml:space="preserve"> </w:t>
            </w:r>
            <w:hyperlink r:id="rId64">
              <w:r>
                <w:rPr>
                  <w:rStyle w:val="Hyperlink"/>
                </w:rPr>
                <w:t xml:space="preserve">https://docs.opensrp.io/</w:t>
              </w:r>
            </w:hyperlink>
            <w:r>
              <w:t xml:space="preserve">.</w:t>
            </w:r>
          </w:p>
          <w:bookmarkEnd w:id="65"/>
        </w:tc>
      </w:tr>
    </w:tbl>
    <w:p>
      <w:pPr>
        <w:pStyle w:val="BodyText"/>
      </w:pPr>
      <w:r>
        <w:t xml:space="preserve">Finally, regarding longitudinal data analysis we also see a convergence towards FHIR as the primary standard. As is the case of federated learning, the choice for FHIR to implement datawarehouse and analytic platforms is the preferred method due to the widespread availibility of complementary open source technologies. FHIR-specific technologies such as Bulk FHIR data access and SQL-on-FHIR mentioned earlier, allow the FHIR ecosystem to be used, complemented and integrated with generic open source datawarehousing technologies such as Clickhouse</w:t>
      </w:r>
      <w:r>
        <w:rPr>
          <w:rStyle w:val="FootnoteReference"/>
        </w:rPr>
        <w:footnoteReference w:id="66"/>
      </w:r>
      <w:r>
        <w:t xml:space="preserve"> </w:t>
      </w:r>
      <w:r>
        <w:t xml:space="preserve">and dbt.</w:t>
      </w:r>
      <w:r>
        <w:rPr>
          <w:rStyle w:val="FootnoteReference"/>
        </w:rPr>
        <w:footnoteReference w:id="68"/>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(Estrin and Sim 2010; Beck 2019)</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(Beck 2019)</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supporting services (many different physical networks) and used in building various applications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70"/>
    <w:bookmarkStart w:id="73"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 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 source implementations as digital public goods</w:t>
      </w:r>
      <w:r>
        <w:t xml:space="preserve"> </w:t>
      </w:r>
      <w:r>
        <w:t xml:space="preserve">(</w:t>
      </w:r>
      <w:r>
        <w:t xml:space="preserve">“Digital</w:t>
      </w:r>
      <w:r>
        <w:t xml:space="preserve"> </w:t>
      </w:r>
      <w:r>
        <w:t xml:space="preserve">Public Goods Alliance</w:t>
      </w:r>
      <w:r>
        <w:t xml:space="preserve">”</w:t>
      </w:r>
      <w:r>
        <w:t xml:space="preserve"> </w:t>
      </w:r>
      <w:r>
        <w:t xml:space="preserve">2024)</w:t>
      </w:r>
      <w:r>
        <w:t xml:space="preserve"> </w:t>
      </w:r>
      <w:r>
        <w:t xml:space="preserve">and integration projects such as Instant OpenHIE</w:t>
      </w:r>
      <w:r>
        <w:rPr>
          <w:rStyle w:val="FootnoteReference"/>
        </w:rPr>
        <w:footnoteReference w:id="71"/>
      </w:r>
      <w:r>
        <w:t xml:space="preserve"> </w:t>
      </w:r>
      <w:r>
        <w:t xml:space="preserve">that we have a chance to move the needle in health data standardization for LMICs.</w:t>
      </w:r>
    </w:p>
    <w:bookmarkEnd w:id="73"/>
    <w:bookmarkStart w:id="148" w:name="bibliography"/>
    <w:p>
      <w:pPr>
        <w:pStyle w:val="Heading1"/>
      </w:pPr>
      <w:r>
        <w:t xml:space="preserve">References</w:t>
      </w:r>
    </w:p>
    <w:bookmarkStart w:id="147" w:name="refs"/>
    <w:bookmarkStart w:id="74" w:name="ref-armbrust2021lakehouse"/>
    <w:p>
      <w:pPr>
        <w:pStyle w:val="Bibliography"/>
      </w:pPr>
      <w:r>
        <w:t xml:space="preserve">Armbrust, Michael, Ali Ghodsi, Reynold Xin, and Matei Zaharia. 2021.</w:t>
      </w:r>
      <w:r>
        <w:t xml:space="preserve"> </w:t>
      </w:r>
      <w:r>
        <w:t xml:space="preserve">“Lakehouse: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w:t>
      </w:r>
      <w:r>
        <w:t xml:space="preserve"> </w:t>
      </w:r>
      <w:r>
        <w:t xml:space="preserve">In</w:t>
      </w:r>
      <w:r>
        <w:t xml:space="preserve"> </w:t>
      </w:r>
      <w:r>
        <w:rPr>
          <w:iCs/>
          <w:i/>
        </w:rPr>
        <w:t xml:space="preserve">11th</w:t>
      </w:r>
      <w:r>
        <w:rPr>
          <w:iCs/>
          <w:i/>
        </w:rPr>
        <w:t xml:space="preserve"> </w:t>
      </w:r>
      <w:r>
        <w:rPr>
          <w:iCs/>
          <w:i/>
        </w:rPr>
        <w:t xml:space="preserve">Annual Conference</w:t>
      </w:r>
      <w:r>
        <w:rPr>
          <w:iCs/>
          <w:i/>
        </w:rPr>
        <w:t xml:space="preserve"> </w:t>
      </w:r>
      <w:r>
        <w:rPr>
          <w:iCs/>
          <w:i/>
        </w:rPr>
        <w:t xml:space="preserve">on</w:t>
      </w:r>
      <w:r>
        <w:rPr>
          <w:iCs/>
          <w:i/>
        </w:rPr>
        <w:t xml:space="preserve"> </w:t>
      </w:r>
      <w:r>
        <w:rPr>
          <w:iCs/>
          <w:i/>
        </w:rPr>
        <w:t xml:space="preserve">Innovative Data Systems Research</w:t>
      </w:r>
      <w:r>
        <w:rPr>
          <w:iCs/>
          <w:i/>
        </w:rPr>
        <w:t xml:space="preserve"> </w:t>
      </w:r>
      <w:r>
        <w:rPr>
          <w:iCs/>
          <w:i/>
        </w:rPr>
        <w:t xml:space="preserve">(</w:t>
      </w:r>
      <w:r>
        <w:rPr>
          <w:iCs/>
          <w:i/>
        </w:rPr>
        <w:t xml:space="preserve">CIDR</w:t>
      </w:r>
      <w:r>
        <w:rPr>
          <w:iCs/>
          <w:i/>
        </w:rPr>
        <w:t xml:space="preserve"> </w:t>
      </w:r>
      <w:r>
        <w:rPr>
          <w:iCs/>
          <w:i/>
        </w:rPr>
        <w:t xml:space="preserve">’21)</w:t>
      </w:r>
      <w:r>
        <w:t xml:space="preserve">, 8.</w:t>
      </w:r>
    </w:p>
    <w:bookmarkEnd w:id="74"/>
    <w:bookmarkStart w:id="76" w:name="ref-beck2019hourglass"/>
    <w:p>
      <w:pPr>
        <w:pStyle w:val="Bibliography"/>
      </w:pPr>
      <w:r>
        <w:t xml:space="preserve">Beck, Micah. 2019.</w:t>
      </w:r>
      <w:r>
        <w:t xml:space="preserve"> </w:t>
      </w:r>
      <w:r>
        <w:t xml:space="preserve">“On the Hourglass Model.”</w:t>
      </w:r>
      <w:r>
        <w:t xml:space="preserve"> </w:t>
      </w:r>
      <w:r>
        <w:rPr>
          <w:iCs/>
          <w:i/>
        </w:rPr>
        <w:t xml:space="preserve">Communications of the ACM</w:t>
      </w:r>
      <w:r>
        <w:t xml:space="preserve"> </w:t>
      </w:r>
      <w:r>
        <w:t xml:space="preserve">62 (7): 48–57.</w:t>
      </w:r>
      <w:r>
        <w:t xml:space="preserve"> </w:t>
      </w:r>
      <w:hyperlink r:id="rId75">
        <w:r>
          <w:rPr>
            <w:rStyle w:val="Hyperlink"/>
          </w:rPr>
          <w:t xml:space="preserve">https://doi.org/10.1145/3274770</w:t>
        </w:r>
      </w:hyperlink>
      <w:r>
        <w:t xml:space="preserve">.</w:t>
      </w:r>
    </w:p>
    <w:bookmarkEnd w:id="76"/>
    <w:bookmarkStart w:id="78" w:name="ref-choudhury2020personal"/>
    <w:p>
      <w:pPr>
        <w:pStyle w:val="Bibliography"/>
      </w:pPr>
      <w:r>
        <w:t xml:space="preserve">Choudhury, Ananya, Johan van Soest, Stuti Nayak, and Andre Dekker. 2020.</w:t>
      </w:r>
      <w:r>
        <w:t xml:space="preserve"> </w:t>
      </w:r>
      <w:r>
        <w:t xml:space="preserve">“Personal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edited by Arup Bhattacharjee, Samir Kr. Borgohain, Badal Soni, Gyanendra Verma, and Xiao-Zhi Gao, 85–95. Communications in</w:t>
      </w:r>
      <w:r>
        <w:t xml:space="preserve"> </w:t>
      </w:r>
      <w:r>
        <w:t xml:space="preserve">Computer</w:t>
      </w:r>
      <w:r>
        <w:t xml:space="preserve"> </w:t>
      </w:r>
      <w:r>
        <w:t xml:space="preserve">and</w:t>
      </w:r>
      <w:r>
        <w:t xml:space="preserve"> </w:t>
      </w:r>
      <w:r>
        <w:t xml:space="preserve">Information Science</w:t>
      </w:r>
      <w:r>
        <w:t xml:space="preserve">. Singapore: Springer.</w:t>
      </w:r>
      <w:r>
        <w:t xml:space="preserve"> </w:t>
      </w:r>
      <w:hyperlink r:id="rId77">
        <w:r>
          <w:rPr>
            <w:rStyle w:val="Hyperlink"/>
          </w:rPr>
          <w:t xml:space="preserve">https://doi.org/10.1007/978-981-15-6315-7_7</w:t>
        </w:r>
      </w:hyperlink>
      <w:r>
        <w:t xml:space="preserve">.</w:t>
      </w:r>
    </w:p>
    <w:bookmarkEnd w:id="78"/>
    <w:bookmarkStart w:id="80" w:name="ref-cremonesi2023need"/>
    <w:p>
      <w:pPr>
        <w:pStyle w:val="Bibliography"/>
      </w:pPr>
      <w:r>
        <w:t xml:space="preserve">Cremonesi, Francesco, Vincent Planat, Varvara Kalokyri, Haridimos Kondylakis, Tiziana Sanavia, Victor Miguel Mateos Resinas, Babita Singh, and Silvia Uribe. 2023.</w:t>
      </w:r>
      <w:r>
        <w:t xml:space="preserve"> </w:t>
      </w:r>
      <w:r>
        <w:t xml:space="preserve">“The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w:t>
      </w:r>
      <w:r>
        <w:t xml:space="preserve">141 (May): 104338.</w:t>
      </w:r>
      <w:r>
        <w:t xml:space="preserve"> </w:t>
      </w:r>
      <w:hyperlink r:id="rId79">
        <w:r>
          <w:rPr>
            <w:rStyle w:val="Hyperlink"/>
          </w:rPr>
          <w:t xml:space="preserve">https://doi.org/10.1016/j.jbi.2023.104338</w:t>
        </w:r>
      </w:hyperlink>
      <w:r>
        <w:t xml:space="preserve">.</w:t>
      </w:r>
    </w:p>
    <w:bookmarkEnd w:id="80"/>
    <w:bookmarkStart w:id="82" w:name="ref-dalhatu2023paper"/>
    <w:p>
      <w:pPr>
        <w:pStyle w:val="Bibliography"/>
      </w:pPr>
      <w:r>
        <w:t xml:space="preserve">Dalhatu, Ibrahim, Chinedu Aniekwe, Adebobola Bashorun, Alhassan Abdulkadir, Emilio Dirlikov, Stephen Ohakanu, Oluwasanmi Adedokun, et al. 2023.</w:t>
      </w:r>
      <w:r>
        <w:t xml:space="preserve"> </w:t>
      </w:r>
      <w:r>
        <w:t xml:space="preserve">“From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of Information in Medicine</w:t>
      </w:r>
      <w:r>
        <w:t xml:space="preserve"> </w:t>
      </w:r>
      <w:r>
        <w:t xml:space="preserve">62 (03/04): 130–39.</w:t>
      </w:r>
      <w:r>
        <w:t xml:space="preserve"> </w:t>
      </w:r>
      <w:hyperlink r:id="rId81">
        <w:r>
          <w:rPr>
            <w:rStyle w:val="Hyperlink"/>
          </w:rPr>
          <w:t xml:space="preserve">https://doi.org/10.1055/s-0043-1768711</w:t>
        </w:r>
      </w:hyperlink>
      <w:r>
        <w:t xml:space="preserve">.</w:t>
      </w:r>
    </w:p>
    <w:bookmarkEnd w:id="82"/>
    <w:bookmarkStart w:id="84" w:name="ref-dereuver2018digital"/>
    <w:p>
      <w:pPr>
        <w:pStyle w:val="Bibliography"/>
      </w:pPr>
      <w:r>
        <w:t xml:space="preserve">de Reuver, Mark, Carsten Sørensen, and Rahul C. Basole. 2018.</w:t>
      </w:r>
      <w:r>
        <w:t xml:space="preserve"> </w:t>
      </w:r>
      <w:r>
        <w:t xml:space="preserve">“The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w:t>
      </w:r>
      <w:r>
        <w:t xml:space="preserve">33 (2): 124–35.</w:t>
      </w:r>
      <w:r>
        <w:t xml:space="preserve"> </w:t>
      </w:r>
      <w:hyperlink r:id="rId83">
        <w:r>
          <w:rPr>
            <w:rStyle w:val="Hyperlink"/>
          </w:rPr>
          <w:t xml:space="preserve">https://doi.org/10.1057/s41265-016-0033-3</w:t>
        </w:r>
      </w:hyperlink>
      <w:r>
        <w:t xml:space="preserve">.</w:t>
      </w:r>
    </w:p>
    <w:bookmarkEnd w:id="84"/>
    <w:bookmarkStart w:id="85" w:name="ref-digitalpublicgoods"/>
    <w:p>
      <w:pPr>
        <w:pStyle w:val="Bibliography"/>
      </w:pPr>
      <w:r>
        <w:t xml:space="preserve">“Digital</w:t>
      </w:r>
      <w:r>
        <w:t xml:space="preserve"> </w:t>
      </w:r>
      <w:r>
        <w:t xml:space="preserve">Public Goods Alliance</w:t>
      </w:r>
      <w:r>
        <w:t xml:space="preserve">.”</w:t>
      </w:r>
      <w:r>
        <w:t xml:space="preserve"> </w:t>
      </w:r>
      <w:r>
        <w:t xml:space="preserve">2024.</w:t>
      </w:r>
      <w:r>
        <w:t xml:space="preserve"> </w:t>
      </w:r>
      <w:r>
        <w:rPr>
          <w:iCs/>
          <w:i/>
        </w:rPr>
        <w:t xml:space="preserve">Digital Public Goods Alliance - Promoting Digital Public Goods to Create a More Equitable World</w:t>
      </w:r>
      <w:r>
        <w:t xml:space="preserve">. https://digitalpublicgoods.net/.</w:t>
      </w:r>
    </w:p>
    <w:bookmarkEnd w:id="85"/>
    <w:bookmarkStart w:id="87" w:name="ref-estrin2010health"/>
    <w:p>
      <w:pPr>
        <w:pStyle w:val="Bibliography"/>
      </w:pPr>
      <w:r>
        <w:t xml:space="preserve">Estrin, Deborah, and Ida Sim. 2010.</w:t>
      </w:r>
      <w:r>
        <w:t xml:space="preserve"> </w:t>
      </w:r>
      <w:r>
        <w:t xml:space="preserve">“Health Care Delivery.</w:t>
      </w:r>
      <w:r>
        <w:t xml:space="preserve"> </w:t>
      </w:r>
      <w:r>
        <w:t xml:space="preserve">Open mHealth</w:t>
      </w:r>
      <w:r>
        <w:t xml:space="preserve"> </w:t>
      </w:r>
      <w:r>
        <w:t xml:space="preserve">Architecture: An Engine for Health Care Innovation.”</w:t>
      </w:r>
      <w:r>
        <w:t xml:space="preserve"> </w:t>
      </w:r>
      <w:r>
        <w:rPr>
          <w:iCs/>
          <w:i/>
        </w:rPr>
        <w:t xml:space="preserve">Science (New York, N.Y.)</w:t>
      </w:r>
      <w:r>
        <w:t xml:space="preserve"> </w:t>
      </w:r>
      <w:r>
        <w:t xml:space="preserve">330 (6005): 759–60.</w:t>
      </w:r>
      <w:r>
        <w:t xml:space="preserve"> </w:t>
      </w:r>
      <w:hyperlink r:id="rId86">
        <w:r>
          <w:rPr>
            <w:rStyle w:val="Hyperlink"/>
          </w:rPr>
          <w:t xml:space="preserve">https://doi.org/10.1126/science.1196187</w:t>
        </w:r>
      </w:hyperlink>
      <w:r>
        <w:t xml:space="preserve">.</w:t>
      </w:r>
    </w:p>
    <w:bookmarkEnd w:id="87"/>
    <w:bookmarkStart w:id="88" w:name="ref-firely2023fhir"/>
    <w:p>
      <w:pPr>
        <w:pStyle w:val="Bibliography"/>
      </w:pPr>
      <w:r>
        <w:t xml:space="preserve">Firely. 2023.</w:t>
      </w:r>
      <w:r>
        <w:t xml:space="preserve"> </w:t>
      </w:r>
      <w:r>
        <w:t xml:space="preserve">“</w:t>
      </w:r>
      <w:r>
        <w:t xml:space="preserve">FHIR</w:t>
      </w:r>
      <w:r>
        <w:t xml:space="preserve"> </w:t>
      </w:r>
      <w:r>
        <w:t xml:space="preserve">in</w:t>
      </w:r>
      <w:r>
        <w:t xml:space="preserve"> </w:t>
      </w:r>
      <w:r>
        <w:t xml:space="preserve">US</w:t>
      </w:r>
      <w:r>
        <w:t xml:space="preserve"> </w:t>
      </w:r>
      <w:r>
        <w:t xml:space="preserve">Healthcare Regulations.”</w:t>
      </w:r>
    </w:p>
    <w:bookmarkEnd w:id="88"/>
    <w:bookmarkStart w:id="90" w:name="ref-gruendner2019ketos"/>
    <w:p>
      <w:pPr>
        <w:pStyle w:val="Bibliography"/>
      </w:pPr>
      <w:r>
        <w:t xml:space="preserve">Gruendner, Julian, Thorsten Schwachhofer, Phillip Sippl, Nicolas Wolf, Marcel Erpenbeck, Christian Gulden, Lorenz A. Kapsner, et al. 2019.</w:t>
      </w:r>
      <w:r>
        <w:t xml:space="preserve"> </w:t>
      </w:r>
      <w:r>
        <w:t xml:space="preserve">“</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w:t>
      </w:r>
      <w:r>
        <w:t xml:space="preserve">14 (10): e0223010.</w:t>
      </w:r>
      <w:r>
        <w:t xml:space="preserve"> </w:t>
      </w:r>
      <w:hyperlink r:id="rId89">
        <w:r>
          <w:rPr>
            <w:rStyle w:val="Hyperlink"/>
          </w:rPr>
          <w:t xml:space="preserve">https://doi.org/10.1371/journal.pone.0223010</w:t>
        </w:r>
      </w:hyperlink>
      <w:r>
        <w:t xml:space="preserve">.</w:t>
      </w:r>
    </w:p>
    <w:bookmarkEnd w:id="90"/>
    <w:bookmarkStart w:id="92" w:name="ref-hai2023data"/>
    <w:p>
      <w:pPr>
        <w:pStyle w:val="Bibliography"/>
      </w:pPr>
      <w:r>
        <w:t xml:space="preserve">Hai, Rihan, Christos Koutras, Christoph Quix, and Matthias Jarke. 2023.</w:t>
      </w:r>
      <w:r>
        <w:t xml:space="preserve"> </w:t>
      </w:r>
      <w:r>
        <w:t xml:space="preserve">“Data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w:t>
      </w:r>
      <w:r>
        <w:t xml:space="preserve">35 (12): 12571–90.</w:t>
      </w:r>
      <w:r>
        <w:t xml:space="preserve"> </w:t>
      </w:r>
      <w:hyperlink r:id="rId91">
        <w:r>
          <w:rPr>
            <w:rStyle w:val="Hyperlink"/>
          </w:rPr>
          <w:t xml:space="preserve">https://doi.org/10.1109/TKDE.2023.3270101</w:t>
        </w:r>
      </w:hyperlink>
      <w:r>
        <w:t xml:space="preserve">.</w:t>
      </w:r>
    </w:p>
    <w:bookmarkEnd w:id="92"/>
    <w:bookmarkStart w:id="94" w:name="ref-harby2022data"/>
    <w:p>
      <w:pPr>
        <w:pStyle w:val="Bibliography"/>
      </w:pPr>
      <w:r>
        <w:t xml:space="preserve">Harby, Ahmed A., and Farhana Zulkernine. 2022.</w:t>
      </w:r>
      <w:r>
        <w:t xml:space="preserve"> </w:t>
      </w:r>
      <w:r>
        <w:t xml:space="preserve">“From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w:t>
      </w:r>
      <w:r>
        <w:t xml:space="preserve"> </w:t>
      </w:r>
      <w:r>
        <w:t xml:space="preserve">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389–95. Osaka, Japan: IEEE.</w:t>
      </w:r>
      <w:r>
        <w:t xml:space="preserve"> </w:t>
      </w:r>
      <w:hyperlink r:id="rId93">
        <w:r>
          <w:rPr>
            <w:rStyle w:val="Hyperlink"/>
          </w:rPr>
          <w:t xml:space="preserve">https://doi.org/10.1109/BigData55660.2022.10020719</w:t>
        </w:r>
      </w:hyperlink>
      <w:r>
        <w:t xml:space="preserve">.</w:t>
      </w:r>
    </w:p>
    <w:bookmarkEnd w:id="94"/>
    <w:bookmarkStart w:id="96" w:name="ref-harby2024data"/>
    <w:p>
      <w:pPr>
        <w:pStyle w:val="Bibliography"/>
      </w:pPr>
      <w:r>
        <w:t xml:space="preserve">———. 2024.</w:t>
      </w:r>
      <w:r>
        <w:t xml:space="preserve"> </w:t>
      </w:r>
      <w:r>
        <w:t xml:space="preserve">“Data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w:t>
      </w:r>
      <w:r>
        <w:t xml:space="preserve"> </w:t>
      </w:r>
      <w:r>
        <w:t xml:space="preserve">{{SSRN Scholarly Paper}}. Rochester, NY.</w:t>
      </w:r>
      <w:r>
        <w:t xml:space="preserve"> </w:t>
      </w:r>
      <w:hyperlink r:id="rId95">
        <w:r>
          <w:rPr>
            <w:rStyle w:val="Hyperlink"/>
          </w:rPr>
          <w:t xml:space="preserve">https://doi.org/10.2139/ssrn.4765588</w:t>
        </w:r>
      </w:hyperlink>
      <w:r>
        <w:t xml:space="preserve">.</w:t>
      </w:r>
    </w:p>
    <w:bookmarkEnd w:id="96"/>
    <w:bookmarkStart w:id="97" w:name="ref-2023hcx"/>
    <w:p>
      <w:pPr>
        <w:pStyle w:val="Bibliography"/>
      </w:pPr>
      <w:r>
        <w:t xml:space="preserve">“</w:t>
      </w:r>
      <w:r>
        <w:t xml:space="preserve">HCX Protocol</w:t>
      </w:r>
      <w:r>
        <w:t xml:space="preserve"> </w:t>
      </w:r>
      <w:r>
        <w:t xml:space="preserve">V0.9.”</w:t>
      </w:r>
      <w:r>
        <w:t xml:space="preserve"> </w:t>
      </w:r>
      <w:r>
        <w:t xml:space="preserve">2023.</w:t>
      </w:r>
    </w:p>
    <w:bookmarkEnd w:id="97"/>
    <w:bookmarkStart w:id="98" w:name="ref-healthri2024agreements"/>
    <w:p>
      <w:pPr>
        <w:pStyle w:val="Bibliography"/>
      </w:pPr>
      <w:r>
        <w:t xml:space="preserve">Health-RI. 2024.</w:t>
      </w:r>
      <w:r>
        <w:t xml:space="preserve"> </w:t>
      </w:r>
      <w:r>
        <w:t xml:space="preserve">“Agreements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w:t>
      </w:r>
      <w:r>
        <w:t xml:space="preserve"> </w:t>
      </w:r>
      <w:r>
        <w:t xml:space="preserve">Wiki. https://health-ri.atlassian.net/wiki/spaces/HNG/pages/249073646/Agreements+on+the+National+Health+Data+Infrastructure+for+Research+Policy+and+Innovation.</w:t>
      </w:r>
    </w:p>
    <w:bookmarkEnd w:id="98"/>
    <w:bookmarkStart w:id="99" w:name="ref-jain2023analyzing"/>
    <w:p>
      <w:pPr>
        <w:pStyle w:val="Bibliography"/>
      </w:pPr>
      <w:r>
        <w:t xml:space="preserve">Jain, Paras, Peter Kraft, Conor Power, Tathagata Das, Ion Stoica, and Matei Zaharia. 2023.</w:t>
      </w:r>
      <w:r>
        <w:t xml:space="preserve"> </w:t>
      </w:r>
      <w:r>
        <w:t xml:space="preserve">“Analyzing and</w:t>
      </w:r>
      <w:r>
        <w:t xml:space="preserve"> </w:t>
      </w:r>
      <w:r>
        <w:t xml:space="preserve">Comparing Lakehouse Storage Systems</w:t>
      </w:r>
      <w:r>
        <w:t xml:space="preserve">.”</w:t>
      </w:r>
    </w:p>
    <w:bookmarkEnd w:id="99"/>
    <w:bookmarkStart w:id="101" w:name="ref-jones2021landscape"/>
    <w:p>
      <w:pPr>
        <w:pStyle w:val="Bibliography"/>
      </w:pPr>
      <w:r>
        <w:t xml:space="preserve">Jones, James, Daniel Gottlieb, Joshua C Mandel, Vladimir Ignatov, Alyssa Ellis, Wayne Kubick, and Kenneth D Mandl. 2021.</w:t>
      </w:r>
      <w:r>
        <w:t xml:space="preserve"> </w:t>
      </w:r>
      <w:r>
        <w:t xml:space="preserve">“A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w:t>
      </w:r>
      <w:r>
        <w:t xml:space="preserve">28 (6): 1284–87.</w:t>
      </w:r>
      <w:r>
        <w:t xml:space="preserve"> </w:t>
      </w:r>
      <w:hyperlink r:id="rId100">
        <w:r>
          <w:rPr>
            <w:rStyle w:val="Hyperlink"/>
          </w:rPr>
          <w:t xml:space="preserve">https://doi.org/10.1093/jamia/ocab028</w:t>
        </w:r>
      </w:hyperlink>
      <w:r>
        <w:t xml:space="preserve">.</w:t>
      </w:r>
    </w:p>
    <w:bookmarkEnd w:id="101"/>
    <w:bookmarkStart w:id="103" w:name="ref-karamagi2022ehealth"/>
    <w:p>
      <w:pPr>
        <w:pStyle w:val="Bibliography"/>
      </w:pPr>
      <w:r>
        <w:t xml:space="preserve">Karamagi, Humphrey C, Derrick Muneene, Benson Droti, Violet Jepchumba, Joseph C Okeibunor, Juliet Nabyonga, James Avoka Asamani, Moussa Traore, and Hillary Kipruto. 2022.</w:t>
      </w:r>
      <w:r>
        <w:t xml:space="preserve"> </w:t>
      </w:r>
      <w:r>
        <w:t xml:space="preserve">“</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Journal of Global Health</w:t>
      </w:r>
      <w:r>
        <w:t xml:space="preserve"> </w:t>
      </w:r>
      <w:r>
        <w:t xml:space="preserve">12 (December): 04090.</w:t>
      </w:r>
      <w:r>
        <w:t xml:space="preserve"> </w:t>
      </w:r>
      <w:hyperlink r:id="rId102">
        <w:r>
          <w:rPr>
            <w:rStyle w:val="Hyperlink"/>
          </w:rPr>
          <w:t xml:space="preserve">https://doi.org/10.7189/jogh.12.04090</w:t>
        </w:r>
      </w:hyperlink>
      <w:r>
        <w:t xml:space="preserve">.</w:t>
      </w:r>
    </w:p>
    <w:bookmarkEnd w:id="103"/>
    <w:bookmarkStart w:id="104" w:name="ref-keller2021paradox"/>
    <w:p>
      <w:pPr>
        <w:pStyle w:val="Bibliography"/>
      </w:pPr>
      <w:r>
        <w:t xml:space="preserve">Keller, Paul, and Alek Tarkowski. 2021.</w:t>
      </w:r>
      <w:r>
        <w:t xml:space="preserve"> </w:t>
      </w:r>
      <w:r>
        <w:t xml:space="preserve">“The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March.</w:t>
      </w:r>
    </w:p>
    <w:bookmarkEnd w:id="104"/>
    <w:bookmarkStart w:id="106" w:name="ref-khalid2021standardized"/>
    <w:p>
      <w:pPr>
        <w:pStyle w:val="Bibliography"/>
      </w:pPr>
      <w:r>
        <w:t xml:space="preserve">Khalid, Sara, Cynthia Yang, Clair Blacketer, Talita Duarte-Salles, Sergio Fernández-Bertolín, Chungsoo Kim, Rae Woong Park, et al. 2021.</w:t>
      </w:r>
      <w:r>
        <w:t xml:space="preserve"> </w:t>
      </w:r>
      <w:r>
        <w:t xml:space="preserve">“A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w:t>
      </w:r>
      <w:r>
        <w:t xml:space="preserve">211 (November): 106394.</w:t>
      </w:r>
      <w:r>
        <w:t xml:space="preserve"> </w:t>
      </w:r>
      <w:hyperlink r:id="rId105">
        <w:r>
          <w:rPr>
            <w:rStyle w:val="Hyperlink"/>
          </w:rPr>
          <w:t xml:space="preserve">https://doi.org/10.1016/j.cmpb.2021.106394</w:t>
        </w:r>
      </w:hyperlink>
      <w:r>
        <w:t xml:space="preserve">.</w:t>
      </w:r>
    </w:p>
    <w:bookmarkEnd w:id="106"/>
    <w:bookmarkStart w:id="108" w:name="ref-kroes2022blueprint"/>
    <w:p>
      <w:pPr>
        <w:pStyle w:val="Bibliography"/>
      </w:pPr>
      <w:r>
        <w:t xml:space="preserve">Kroes, Johannes A., Aruna T. Bansal, Emmanuelle Berret, Nils Christian, Andreas Kremer, Anna Alloni, Matteo Gabetta, et al. 2022.</w:t>
      </w:r>
      <w:r>
        <w:t xml:space="preserve"> </w:t>
      </w:r>
      <w:r>
        <w:t xml:space="preserve">“Blueprint for Harmonising Unstandardised Disease Registries to Allow Federated Data Analysis: Prepare for the Future.”</w:t>
      </w:r>
      <w:r>
        <w:t xml:space="preserve"> </w:t>
      </w:r>
      <w:r>
        <w:rPr>
          <w:iCs/>
          <w:i/>
        </w:rPr>
        <w:t xml:space="preserve">ERJ Open Research</w:t>
      </w:r>
      <w:r>
        <w:t xml:space="preserve"> </w:t>
      </w:r>
      <w:r>
        <w:t xml:space="preserve">8 (4).</w:t>
      </w:r>
      <w:r>
        <w:t xml:space="preserve"> </w:t>
      </w:r>
      <w:hyperlink r:id="rId107">
        <w:r>
          <w:rPr>
            <w:rStyle w:val="Hyperlink"/>
          </w:rPr>
          <w:t xml:space="preserve">https://doi.org/10.1183/23120541.00168-2022</w:t>
        </w:r>
      </w:hyperlink>
      <w:r>
        <w:t xml:space="preserve">.</w:t>
      </w:r>
    </w:p>
    <w:bookmarkEnd w:id="108"/>
    <w:bookmarkStart w:id="110" w:name="ref-kurniawan2019midwife"/>
    <w:p>
      <w:pPr>
        <w:pStyle w:val="Bibliography"/>
      </w:pPr>
      <w:r>
        <w:t xml:space="preserve">Kurniawan, Kevin, Inraini FitriaSyah, Ahmad Rafi Jayakusuma, Resty Asmauryanah Armis, Yusran Lubis, Muhammad Abdi Haryono, Benyamin Harefa, and Anuraj Shankar. 2019.</w:t>
      </w:r>
      <w:r>
        <w:t xml:space="preserve"> </w:t>
      </w:r>
      <w:r>
        <w:t xml:space="preserve">“Midwife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w:t>
      </w:r>
      <w:r>
        <w:t xml:space="preserve"> </w:t>
      </w:r>
      <w:r>
        <w:t xml:space="preserve">In</w:t>
      </w:r>
      <w:r>
        <w:t xml:space="preserve"> </w:t>
      </w:r>
      <w:r>
        <w:rPr>
          <w:iCs/>
          <w:i/>
        </w:rPr>
        <w:t xml:space="preserve">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Health Sciences</w:t>
      </w:r>
      <w:r>
        <w:rPr>
          <w:iCs/>
          <w:i/>
        </w:rPr>
        <w:t xml:space="preserve"> </w:t>
      </w:r>
      <w:r>
        <w:rPr>
          <w:iCs/>
          <w:i/>
        </w:rPr>
        <w:t xml:space="preserve">(</w:t>
      </w:r>
      <w:r>
        <w:rPr>
          <w:iCs/>
          <w:i/>
        </w:rPr>
        <w:t xml:space="preserve">ICHS</w:t>
      </w:r>
      <w:r>
        <w:rPr>
          <w:iCs/>
          <w:i/>
        </w:rPr>
        <w:t xml:space="preserve"> </w:t>
      </w:r>
      <w:r>
        <w:rPr>
          <w:iCs/>
          <w:i/>
        </w:rPr>
        <w:t xml:space="preserve">2018)</w:t>
      </w:r>
      <w:r>
        <w:t xml:space="preserve">, 155–62. Atlantis Press.</w:t>
      </w:r>
      <w:r>
        <w:t xml:space="preserve"> </w:t>
      </w:r>
      <w:hyperlink r:id="rId109">
        <w:r>
          <w:rPr>
            <w:rStyle w:val="Hyperlink"/>
          </w:rPr>
          <w:t xml:space="preserve">https://doi.org/10.2991/ichs-18.2019.21</w:t>
        </w:r>
      </w:hyperlink>
      <w:r>
        <w:t xml:space="preserve">.</w:t>
      </w:r>
    </w:p>
    <w:bookmarkEnd w:id="110"/>
    <w:bookmarkStart w:id="111" w:name="ref-lee2022feedernet"/>
    <w:p>
      <w:pPr>
        <w:pStyle w:val="Bibliography"/>
      </w:pPr>
      <w:r>
        <w:t xml:space="preserve">Lee, Seongwon, Chungsoo Kim, Junyuk Chang, and Rae Woong Park. 2022.</w:t>
      </w:r>
      <w:r>
        <w:t xml:space="preserve"> </w:t>
      </w:r>
      <w:r>
        <w:t xml:space="preserve">“</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w:t>
      </w:r>
    </w:p>
    <w:bookmarkEnd w:id="111"/>
    <w:bookmarkStart w:id="113" w:name="ref-mamuye2022health"/>
    <w:p>
      <w:pPr>
        <w:pStyle w:val="Bibliography"/>
      </w:pPr>
      <w:r>
        <w:t xml:space="preserve">Mamuye, Adane L., Tesfahun M. Yilma, Ahmad Abdulwahab, Sean Broomhead, Phumzule Zondo, Mercy Kyeng, Justin Maeda, Mohammed Abdulaziz, Tadesse Wuhib, and Binyam C. Tilahun. 2022.</w:t>
      </w:r>
      <w:r>
        <w:t xml:space="preserve"> </w:t>
      </w:r>
      <w:r>
        <w:t xml:space="preserve">“Health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w:t>
      </w:r>
      <w:r>
        <w:t xml:space="preserve">1 (10): e0000118.</w:t>
      </w:r>
      <w:r>
        <w:t xml:space="preserve"> </w:t>
      </w:r>
      <w:hyperlink r:id="rId112">
        <w:r>
          <w:rPr>
            <w:rStyle w:val="Hyperlink"/>
          </w:rPr>
          <w:t xml:space="preserve">https://doi.org/10.1371/journal.pdig.0000118</w:t>
        </w:r>
      </w:hyperlink>
      <w:r>
        <w:t xml:space="preserve">.</w:t>
      </w:r>
    </w:p>
    <w:bookmarkEnd w:id="113"/>
    <w:bookmarkStart w:id="115" w:name="ref-mandl2020push"/>
    <w:p>
      <w:pPr>
        <w:pStyle w:val="Bibliography"/>
      </w:pPr>
      <w:r>
        <w:t xml:space="preserve">Mandl, Kenneth D., Daniel Gottlieb, Joshua C. Mandel, Vladimir Ignatov, Raheel Sayeed, Grahame Grieve, James Jones, Alyssa Ellis, and Adam Culbertson. 2020.</w:t>
      </w:r>
      <w:r>
        <w:t xml:space="preserve"> </w:t>
      </w:r>
      <w:r>
        <w:t xml:space="preserve">“Push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w:t>
      </w:r>
      <w:r>
        <w:t xml:space="preserve">3 (1): 1–9.</w:t>
      </w:r>
      <w:r>
        <w:t xml:space="preserve"> </w:t>
      </w:r>
      <w:hyperlink r:id="rId114">
        <w:r>
          <w:rPr>
            <w:rStyle w:val="Hyperlink"/>
          </w:rPr>
          <w:t xml:space="preserve">https://doi.org/10.1038/s41746-020-00358-4</w:t>
        </w:r>
      </w:hyperlink>
      <w:r>
        <w:t xml:space="preserve">.</w:t>
      </w:r>
    </w:p>
    <w:bookmarkEnd w:id="115"/>
    <w:bookmarkStart w:id="117" w:name="ref-mateus2024data"/>
    <w:p>
      <w:pPr>
        <w:pStyle w:val="Bibliography"/>
      </w:pPr>
      <w:r>
        <w:t xml:space="preserve">Mateus, Pedro, Justine Moonen, Magdalena Beran, Eva Jaarsma, Sophie M. van der Landen, Joost Heuvelink, Mahlet Birhanu, et al. 2024.</w:t>
      </w:r>
      <w:r>
        <w:t xml:space="preserve"> </w:t>
      </w:r>
      <w:r>
        <w:t xml:space="preserve">“Data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w:t>
      </w:r>
      <w:r>
        <w:t xml:space="preserve">155 (July): 104661.</w:t>
      </w:r>
      <w:r>
        <w:t xml:space="preserve"> </w:t>
      </w:r>
      <w:hyperlink r:id="rId116">
        <w:r>
          <w:rPr>
            <w:rStyle w:val="Hyperlink"/>
          </w:rPr>
          <w:t xml:space="preserve">https://doi.org/10.1016/j.jbi.2024.104661</w:t>
        </w:r>
      </w:hyperlink>
      <w:r>
        <w:t xml:space="preserve">.</w:t>
      </w:r>
    </w:p>
    <w:bookmarkEnd w:id="117"/>
    <w:bookmarkStart w:id="118" w:name="ref-mehl2020open"/>
    <w:p>
      <w:pPr>
        <w:pStyle w:val="Bibliography"/>
      </w:pPr>
      <w:r>
        <w:t xml:space="preserve">Mehl, Garrett. 2020.</w:t>
      </w:r>
      <w:r>
        <w:t xml:space="preserve"> </w:t>
      </w:r>
      <w:r>
        <w:t xml:space="preserve">“Open</w:t>
      </w:r>
      <w:r>
        <w:t xml:space="preserve"> </w:t>
      </w:r>
      <w:r>
        <w:t xml:space="preserve">Smart Register Platform</w:t>
      </w:r>
      <w:r>
        <w:t xml:space="preserve"> </w:t>
      </w:r>
      <w:r>
        <w:t xml:space="preserve">(</w:t>
      </w:r>
      <w:r>
        <w:t xml:space="preserve">OpenSRP</w:t>
      </w:r>
      <w:r>
        <w:t xml:space="preserve">).”</w:t>
      </w:r>
      <w:r>
        <w:t xml:space="preserve"> </w:t>
      </w:r>
      <w:r>
        <w:rPr>
          <w:iCs/>
          <w:i/>
        </w:rPr>
        <w:t xml:space="preserve">mHealth Compendium</w:t>
      </w:r>
      <w:r>
        <w:t xml:space="preserve"> </w:t>
      </w:r>
      <w:r>
        <w:t xml:space="preserve">5 (October): 42–43.</w:t>
      </w:r>
    </w:p>
    <w:bookmarkEnd w:id="118"/>
    <w:bookmarkStart w:id="120" w:name="ref-mehl2023fullstac"/>
    <w:p>
      <w:pPr>
        <w:pStyle w:val="Bibliography"/>
      </w:pPr>
      <w:r>
        <w:t xml:space="preserve">Mehl, Garrett L, Martin G Seneviratne, Matt L Berg, Suhel Bidani, Rebecca L Distler, Marelize Gorgens, Karin E Kallander, et al. 2023.</w:t>
      </w:r>
      <w:r>
        <w:t xml:space="preserve"> </w:t>
      </w:r>
      <w:r>
        <w:t xml:space="preserve">“A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w:t>
      </w:r>
      <w:r>
        <w:t xml:space="preserve">1 (January): oqad018.</w:t>
      </w:r>
      <w:r>
        <w:t xml:space="preserve"> </w:t>
      </w:r>
      <w:hyperlink r:id="rId119">
        <w:r>
          <w:rPr>
            <w:rStyle w:val="Hyperlink"/>
          </w:rPr>
          <w:t xml:space="preserve">https://doi.org/10.1093/oodh/oqad018</w:t>
        </w:r>
      </w:hyperlink>
      <w:r>
        <w:t xml:space="preserve">.</w:t>
      </w:r>
    </w:p>
    <w:bookmarkEnd w:id="120"/>
    <w:bookmarkStart w:id="122" w:name="ref-mullie2023coda"/>
    <w:p>
      <w:pPr>
        <w:pStyle w:val="Bibliography"/>
      </w:pPr>
      <w:r>
        <w:t xml:space="preserve">Mullie, Louis, Jonathan Afilalo, Patrick Archambault, Rima Bouchakri, Kip Brown, David L Buckeridge, Yiorgos Alexandros Cavayas, et al. 2023.</w:t>
      </w:r>
      <w:r>
        <w:t xml:space="preserve"> </w:t>
      </w:r>
      <w:r>
        <w:t xml:space="preserve">“</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December, ocad235.</w:t>
      </w:r>
      <w:r>
        <w:t xml:space="preserve"> </w:t>
      </w:r>
      <w:hyperlink r:id="rId121">
        <w:r>
          <w:rPr>
            <w:rStyle w:val="Hyperlink"/>
          </w:rPr>
          <w:t xml:space="preserve">https://doi.org/10.1093/jamia/ocad235</w:t>
        </w:r>
      </w:hyperlink>
      <w:r>
        <w:t xml:space="preserve">.</w:t>
      </w:r>
    </w:p>
    <w:bookmarkEnd w:id="122"/>
    <w:bookmarkStart w:id="123" w:name="ref-india2020national"/>
    <w:p>
      <w:pPr>
        <w:pStyle w:val="Bibliography"/>
      </w:pPr>
      <w:r>
        <w:t xml:space="preserve">“National</w:t>
      </w:r>
      <w:r>
        <w:t xml:space="preserve"> </w:t>
      </w:r>
      <w:r>
        <w:t xml:space="preserve">Digital Health Mission</w:t>
      </w:r>
      <w:r>
        <w:t xml:space="preserve">.”</w:t>
      </w:r>
      <w:r>
        <w:t xml:space="preserve"> </w:t>
      </w:r>
      <w:r>
        <w:t xml:space="preserve">2020. India National Health Authority.</w:t>
      </w:r>
    </w:p>
    <w:bookmarkEnd w:id="123"/>
    <w:bookmarkStart w:id="125" w:name="ref-nsaghurwe2021one"/>
    <w:p>
      <w:pPr>
        <w:pStyle w:val="Bibliography"/>
      </w:pPr>
      <w:r>
        <w:t xml:space="preserve">Nsaghurwe, Alpha, Vikas Dwivedi, Walter Ndesanjo, Haji Bamsi, Moses Busiga, Edwin Nyella, Japhet Victor Massawe, et al. 2021.</w:t>
      </w:r>
      <w:r>
        <w:t xml:space="preserve"> </w:t>
      </w:r>
      <w:r>
        <w:t xml:space="preserve">“One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w:t>
      </w:r>
      <w:r>
        <w:t xml:space="preserve">21 (1): 139.</w:t>
      </w:r>
      <w:r>
        <w:t xml:space="preserve"> </w:t>
      </w:r>
      <w:hyperlink r:id="rId124">
        <w:r>
          <w:rPr>
            <w:rStyle w:val="Hyperlink"/>
          </w:rPr>
          <w:t xml:space="preserve">https://doi.org/10.1186/s12911-021-01499-6</w:t>
        </w:r>
      </w:hyperlink>
      <w:r>
        <w:t xml:space="preserve">.</w:t>
      </w:r>
    </w:p>
    <w:bookmarkEnd w:id="125"/>
    <w:bookmarkStart w:id="126" w:name="ref-openhie"/>
    <w:p>
      <w:pPr>
        <w:pStyle w:val="Bibliography"/>
      </w:pPr>
      <w:r>
        <w:t xml:space="preserve">“</w:t>
      </w:r>
      <w:r>
        <w:t xml:space="preserve">OpenHIE Framework</w:t>
      </w:r>
      <w:r>
        <w:t xml:space="preserve"> </w:t>
      </w:r>
      <w:r>
        <w:t xml:space="preserve">V5.2-En.”</w:t>
      </w:r>
      <w:r>
        <w:t xml:space="preserve"> </w:t>
      </w:r>
      <w:r>
        <w:t xml:space="preserve">2024.</w:t>
      </w:r>
      <w:r>
        <w:t xml:space="preserve"> </w:t>
      </w:r>
      <w:r>
        <w:rPr>
          <w:iCs/>
          <w:i/>
        </w:rPr>
        <w:t xml:space="preserve">OpenHIE</w:t>
      </w:r>
      <w:r>
        <w:t xml:space="preserve">. https://ohie.org/.</w:t>
      </w:r>
    </w:p>
    <w:bookmarkEnd w:id="126"/>
    <w:bookmarkStart w:id="128" w:name="ref-pedreira2023composable"/>
    <w:p>
      <w:pPr>
        <w:pStyle w:val="Bibliography"/>
      </w:pPr>
      <w:r>
        <w:t xml:space="preserve">Pedreira, Pedro, Orri Erling, Konstantinos Karanasos, Scott Schneider, Wes McKinney, Satya R Valluri, Mohamed Zait, and Jacques Nadeau. 2023.</w:t>
      </w:r>
      <w:r>
        <w:t xml:space="preserve"> </w:t>
      </w:r>
      <w:r>
        <w:t xml:space="preserve">“The</w:t>
      </w:r>
      <w:r>
        <w:t xml:space="preserve"> </w:t>
      </w:r>
      <w:r>
        <w:t xml:space="preserve">Composable Data Management System Manifesto</w:t>
      </w:r>
      <w:r>
        <w:t xml:space="preserve">.”</w:t>
      </w:r>
      <w:r>
        <w:t xml:space="preserve"> </w:t>
      </w:r>
      <w:r>
        <w:rPr>
          <w:iCs/>
          <w:i/>
        </w:rPr>
        <w:t xml:space="preserve">Proceedings of the VLDB Endowment</w:t>
      </w:r>
      <w:r>
        <w:t xml:space="preserve"> </w:t>
      </w:r>
      <w:r>
        <w:t xml:space="preserve">16 (10): 2679–85.</w:t>
      </w:r>
      <w:r>
        <w:t xml:space="preserve"> </w:t>
      </w:r>
      <w:hyperlink r:id="rId127">
        <w:r>
          <w:rPr>
            <w:rStyle w:val="Hyperlink"/>
          </w:rPr>
          <w:t xml:space="preserve">https://doi.org/10.14778/3603581.3603604</w:t>
        </w:r>
      </w:hyperlink>
      <w:r>
        <w:t xml:space="preserve">.</w:t>
      </w:r>
    </w:p>
    <w:bookmarkEnd w:id="128"/>
    <w:bookmarkStart w:id="130" w:name="ref-peng2023etlprocess"/>
    <w:p>
      <w:pPr>
        <w:pStyle w:val="Bibliography"/>
      </w:pPr>
      <w:r>
        <w:t xml:space="preserve">Peng, Yuan, Elisa Henke, Ines Reinecke, Michéle Zoch, Martin Sedlmayr, and Franziska Bathelt. 2023.</w:t>
      </w:r>
      <w:r>
        <w:t xml:space="preserve"> </w:t>
      </w:r>
      <w:r>
        <w:t xml:space="preserve">“An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w:t>
      </w:r>
      <w:r>
        <w:t xml:space="preserve">169 (January): 104925.</w:t>
      </w:r>
      <w:r>
        <w:t xml:space="preserve"> </w:t>
      </w:r>
      <w:hyperlink r:id="rId129">
        <w:r>
          <w:rPr>
            <w:rStyle w:val="Hyperlink"/>
          </w:rPr>
          <w:t xml:space="preserve">https://doi.org/10.1016/j.ijmedinf.2022.104925</w:t>
        </w:r>
      </w:hyperlink>
      <w:r>
        <w:t xml:space="preserve">.</w:t>
      </w:r>
    </w:p>
    <w:bookmarkEnd w:id="130"/>
    <w:bookmarkStart w:id="132" w:name="ref-reynolds2011open"/>
    <w:p>
      <w:pPr>
        <w:pStyle w:val="Bibliography"/>
      </w:pPr>
      <w:r>
        <w:t xml:space="preserve">Reynolds, Carl J., and Jeremy C. Wyatt. 2011.</w:t>
      </w:r>
      <w:r>
        <w:t xml:space="preserve"> </w:t>
      </w:r>
      <w:r>
        <w:t xml:space="preserve">“Open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w:t>
      </w:r>
      <w:r>
        <w:t xml:space="preserve">13 (1): e1521.</w:t>
      </w:r>
      <w:r>
        <w:t xml:space="preserve"> </w:t>
      </w:r>
      <w:hyperlink r:id="rId131">
        <w:r>
          <w:rPr>
            <w:rStyle w:val="Hyperlink"/>
          </w:rPr>
          <w:t xml:space="preserve">https://doi.org/10.2196/jmir.1521</w:t>
        </w:r>
      </w:hyperlink>
      <w:r>
        <w:t xml:space="preserve">.</w:t>
      </w:r>
    </w:p>
    <w:bookmarkEnd w:id="132"/>
    <w:bookmarkStart w:id="134" w:name="ref-rieke2020future"/>
    <w:p>
      <w:pPr>
        <w:pStyle w:val="Bibliography"/>
      </w:pPr>
      <w:r>
        <w:t xml:space="preserve">Rieke, Nicola, Jonny Hancox, Wenqi Li, Fausto Milletarì, Holger R. Roth, Shadi Albarqouni, Spyridon Bakas, et al. 2020.</w:t>
      </w:r>
      <w:r>
        <w:t xml:space="preserve"> </w:t>
      </w:r>
      <w:r>
        <w:t xml:space="preserve">“The Future of Digital Health with Federated Learning.”</w:t>
      </w:r>
      <w:r>
        <w:t xml:space="preserve"> </w:t>
      </w:r>
      <w:r>
        <w:rPr>
          <w:iCs/>
          <w:i/>
        </w:rPr>
        <w:t xml:space="preserve">Npj Digital Medicine</w:t>
      </w:r>
      <w:r>
        <w:t xml:space="preserve"> </w:t>
      </w:r>
      <w:r>
        <w:t xml:space="preserve">3 (1): 1–7.</w:t>
      </w:r>
      <w:r>
        <w:t xml:space="preserve"> </w:t>
      </w:r>
      <w:hyperlink r:id="rId133">
        <w:r>
          <w:rPr>
            <w:rStyle w:val="Hyperlink"/>
          </w:rPr>
          <w:t xml:space="preserve">https://doi.org/10.1038/s41746-020-00323-1</w:t>
        </w:r>
      </w:hyperlink>
      <w:r>
        <w:t xml:space="preserve">.</w:t>
      </w:r>
    </w:p>
    <w:bookmarkEnd w:id="134"/>
    <w:bookmarkStart w:id="136" w:name="ref-sinaci2024privacypreserving"/>
    <w:p>
      <w:pPr>
        <w:pStyle w:val="Bibliography"/>
      </w:pPr>
      <w:r>
        <w:t xml:space="preserve">Sinaci, A. Anil, Mert Gencturk, Celia Alvarez-Romero, Gokce Banu Laleci Erturkmen, Alicia Martinez-Garcia, María José Escalona-Cuaresma, and Carlos Luis Parra-Calderon. 2024.</w:t>
      </w:r>
      <w:r>
        <w:t xml:space="preserve"> </w:t>
      </w:r>
      <w:r>
        <w:t xml:space="preserve">“Privacy-Preserving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w:t>
      </w:r>
      <w:r>
        <w:t xml:space="preserve">24 (December): 136–45.</w:t>
      </w:r>
      <w:r>
        <w:t xml:space="preserve"> </w:t>
      </w:r>
      <w:hyperlink r:id="rId135">
        <w:r>
          <w:rPr>
            <w:rStyle w:val="Hyperlink"/>
          </w:rPr>
          <w:t xml:space="preserve">https://doi.org/10.1016/j.csbj.2024.02.014</w:t>
        </w:r>
      </w:hyperlink>
      <w:r>
        <w:t xml:space="preserve">.</w:t>
      </w:r>
    </w:p>
    <w:bookmarkEnd w:id="136"/>
    <w:bookmarkStart w:id="138" w:name="ref-smits2022improved"/>
    <w:p>
      <w:pPr>
        <w:pStyle w:val="Bibliography"/>
      </w:pPr>
      <w:r>
        <w:t xml:space="preserve">Smits, Djura, Bart Van Beusekom, Frank Martin, Lourens Veen, Gijs Geleijnse, and Arturo Moncada-Torres. 2022.</w:t>
      </w:r>
      <w:r>
        <w:t xml:space="preserve"> </w:t>
      </w:r>
      <w:r>
        <w:t xml:space="preserve">“An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w:t>
      </w:r>
      <w:r>
        <w:t xml:space="preserve"> </w:t>
      </w:r>
      <w:r>
        <w:t xml:space="preserve">In</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edited by John Mantas, Parisis Gallos, Emmanouil Zoulias, Arie Hasman, Mowafa S. Househ, Marianna Diomidous, Joseph Liaskos, and Martha Charalampidou. IOS Press.</w:t>
      </w:r>
      <w:r>
        <w:t xml:space="preserve"> </w:t>
      </w:r>
      <w:hyperlink r:id="rId137">
        <w:r>
          <w:rPr>
            <w:rStyle w:val="Hyperlink"/>
          </w:rPr>
          <w:t xml:space="preserve">https://doi.org/10.3233/SHTI220682</w:t>
        </w:r>
      </w:hyperlink>
      <w:r>
        <w:t xml:space="preserve">.</w:t>
      </w:r>
    </w:p>
    <w:bookmarkEnd w:id="138"/>
    <w:bookmarkStart w:id="139" w:name="X832d973b1344ca109e326dc1e2806e4addac434"/>
    <w:p>
      <w:pPr>
        <w:pStyle w:val="Bibliography"/>
      </w:pPr>
      <w:r>
        <w:t xml:space="preserve">Summit Institute for Development. 2023.</w:t>
      </w:r>
      <w:r>
        <w:t xml:space="preserve"> </w:t>
      </w:r>
      <w:r>
        <w:t xml:space="preserve">“</w:t>
      </w:r>
      <w:r>
        <w:t xml:space="preserve">BUNDA App</w:t>
      </w:r>
      <w:r>
        <w:t xml:space="preserve">.”</w:t>
      </w:r>
      <w:r>
        <w:t xml:space="preserve"> </w:t>
      </w:r>
      <w:r>
        <w:rPr>
          <w:iCs/>
          <w:i/>
        </w:rPr>
        <w:t xml:space="preserve">Summit Institute</w:t>
      </w:r>
      <w:r>
        <w:t xml:space="preserve">. https://www.sid-indonesia.org/post/bunda-app.</w:t>
      </w:r>
    </w:p>
    <w:bookmarkEnd w:id="139"/>
    <w:bookmarkStart w:id="141" w:name="ref-syzdykova2017opensource"/>
    <w:p>
      <w:pPr>
        <w:pStyle w:val="Bibliography"/>
      </w:pPr>
      <w:r>
        <w:t xml:space="preserve">Syzdykova, Assel, André Malta, Maria Zolfo, Ermias Diro, and José Luis Oliveira. 2017.</w:t>
      </w:r>
      <w:r>
        <w:t xml:space="preserve"> </w:t>
      </w:r>
      <w:r>
        <w:t xml:space="preserve">“Open-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w:t>
      </w:r>
      <w:r>
        <w:t xml:space="preserve">5 (4): e44.</w:t>
      </w:r>
      <w:r>
        <w:t xml:space="preserve"> </w:t>
      </w:r>
      <w:hyperlink r:id="rId140">
        <w:r>
          <w:rPr>
            <w:rStyle w:val="Hyperlink"/>
          </w:rPr>
          <w:t xml:space="preserve">https://doi.org/10.2196/medinform.8131</w:t>
        </w:r>
      </w:hyperlink>
      <w:r>
        <w:t xml:space="preserve">.</w:t>
      </w:r>
    </w:p>
    <w:bookmarkEnd w:id="141"/>
    <w:bookmarkStart w:id="143" w:name="ref-teo2024federated"/>
    <w:p>
      <w:pPr>
        <w:pStyle w:val="Bibliography"/>
      </w:pPr>
      <w:r>
        <w:t xml:space="preserve">Teo, Zhen Ling, Liyuan Jin, Nan Liu, Siqi Li, Di Miao, Xiaoman Zhang, Wei Yan Ng, et al. 2024.</w:t>
      </w:r>
      <w:r>
        <w:t xml:space="preserve"> </w:t>
      </w:r>
      <w:r>
        <w:t xml:space="preserve">“Federated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w:t>
      </w:r>
      <w:r>
        <w:t xml:space="preserve">5 (2): 101419.</w:t>
      </w:r>
      <w:r>
        <w:t xml:space="preserve"> </w:t>
      </w:r>
      <w:hyperlink r:id="rId142">
        <w:r>
          <w:rPr>
            <w:rStyle w:val="Hyperlink"/>
          </w:rPr>
          <w:t xml:space="preserve">https://doi.org/10.1016/j.xcrm.2024.101419</w:t>
        </w:r>
      </w:hyperlink>
      <w:r>
        <w:t xml:space="preserve">.</w:t>
      </w:r>
    </w:p>
    <w:bookmarkEnd w:id="143"/>
    <w:bookmarkStart w:id="144" w:name="ref-thaiya2021adoption"/>
    <w:p>
      <w:pPr>
        <w:pStyle w:val="Bibliography"/>
      </w:pPr>
      <w:r>
        <w:t xml:space="preserve">Thaiya, Mbugua Samuel, Korongo Julia, Mutai Joram, Masese Benard, and Dr Alice Nambiro. 2021.</w:t>
      </w:r>
      <w:r>
        <w:t xml:space="preserve"> </w:t>
      </w:r>
      <w:r>
        <w:t xml:space="preserve">“Adoption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 Journal of Computer Engineering</w:t>
      </w:r>
      <w:r>
        <w:t xml:space="preserve"> </w:t>
      </w:r>
      <w:r>
        <w:t xml:space="preserve">23 (2): 45–50.</w:t>
      </w:r>
    </w:p>
    <w:bookmarkEnd w:id="144"/>
    <w:bookmarkStart w:id="145" w:name="ref-tilahun2023african"/>
    <w:p>
      <w:pPr>
        <w:pStyle w:val="Bibliography"/>
      </w:pPr>
      <w:r>
        <w:t xml:space="preserve">Tilahun, Binyam, Adane Mamuye, Tesfahun Yilma, and Yasser Shehata. 2023.</w:t>
      </w:r>
      <w:r>
        <w:t xml:space="preserve"> </w:t>
      </w:r>
      <w:r>
        <w:t xml:space="preserve">“African</w:t>
      </w:r>
      <w:r>
        <w:t xml:space="preserve"> </w:t>
      </w:r>
      <w:r>
        <w:t xml:space="preserve">Union Health Information Exchange Guidelines</w:t>
      </w:r>
      <w:r>
        <w:t xml:space="preserve"> </w:t>
      </w:r>
      <w:r>
        <w:t xml:space="preserve">and</w:t>
      </w:r>
      <w:r>
        <w:t xml:space="preserve"> </w:t>
      </w:r>
      <w:r>
        <w:t xml:space="preserve">Standards</w:t>
      </w:r>
      <w:r>
        <w:t xml:space="preserve">.”</w:t>
      </w:r>
    </w:p>
    <w:bookmarkEnd w:id="145"/>
    <w:bookmarkStart w:id="146" w:name="ref-tsafnat2024converge"/>
    <w:p>
      <w:pPr>
        <w:pStyle w:val="Bibliography"/>
      </w:pPr>
      <w:r>
        <w:t xml:space="preserve">Tsafnat, G, R Dunscombe, D Gabriel, G Grieve, and C Reich. 2024.</w:t>
      </w:r>
      <w:r>
        <w:t xml:space="preserve"> </w:t>
      </w:r>
      <w:r>
        <w:t xml:space="preserve">“Converge or Collide?</w:t>
      </w:r>
      <w:r>
        <w:t xml:space="preserve"> </w:t>
      </w:r>
      <w:r>
        <w:t xml:space="preserve">Making</w:t>
      </w:r>
      <w:r>
        <w:t xml:space="preserve"> </w:t>
      </w:r>
      <w:r>
        <w:t xml:space="preserve">Sense of a Plethora of Open Data Standards in Healthcare: An Editorial.”</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https://en.wikipedia.org/wiki/GSM#Initial_European_development</w:t>
        </w:r>
      </w:hyperlink>
      <w:r>
        <w:t xml:space="preserve">.</w:t>
      </w:r>
    </w:p>
  </w:footnote>
  <w:footnote w:id="23">
    <w:p>
      <w:pPr>
        <w:pStyle w:val="FootnoteText"/>
      </w:pPr>
      <w:r>
        <w:rPr>
          <w:rStyle w:val="FootnoteReference"/>
        </w:rPr>
        <w:footnoteRef/>
      </w:r>
      <w:r>
        <w:t xml:space="preserve"> </w:t>
      </w:r>
      <w:hyperlink r:id="rId24">
        <w:r>
          <w:rPr>
            <w:rStyle w:val="Hyperlink"/>
          </w:rPr>
          <w:t xml:space="preserve">https://build.fhir.org/ig/FHIR/sql-on-fhir-v2/</w:t>
        </w:r>
      </w:hyperlink>
    </w:p>
  </w:footnote>
  <w:footnote w:id="25">
    <w:p>
      <w:pPr>
        <w:pStyle w:val="FootnoteText"/>
      </w:pPr>
      <w:r>
        <w:rPr>
          <w:rStyle w:val="FootnoteReference"/>
        </w:rPr>
        <w:footnoteRef/>
      </w:r>
      <w:r>
        <w:t xml:space="preserve"> </w:t>
      </w:r>
      <w:r>
        <w:t xml:space="preserve">FHIR:</w:t>
      </w:r>
      <w:r>
        <w:t xml:space="preserve"> </w:t>
      </w:r>
      <w:hyperlink r:id="rId26">
        <w:r>
          <w:rPr>
            <w:rStyle w:val="Hyperlink"/>
          </w:rPr>
          <w:t xml:space="preserve">https://confluence.hl7.org/display/FHIR/Open+Source+Implementations</w:t>
        </w:r>
      </w:hyperlink>
      <w:r>
        <w:t xml:space="preserve">. OMOP:</w:t>
      </w:r>
      <w:r>
        <w:t xml:space="preserve"> </w:t>
      </w:r>
      <w:hyperlink r:id="rId27">
        <w:r>
          <w:rPr>
            <w:rStyle w:val="Hyperlink"/>
          </w:rPr>
          <w:t xml:space="preserve">https://www.ohdsi.org/software-tools/</w:t>
        </w:r>
      </w:hyperlink>
      <w:r>
        <w:t xml:space="preserve">. openEHR:</w:t>
      </w:r>
      <w:r>
        <w:t xml:space="preserve"> </w:t>
      </w:r>
      <w:hyperlink r:id="rId28">
        <w:r>
          <w:rPr>
            <w:rStyle w:val="Hyperlink"/>
          </w:rPr>
          <w:t xml:space="preserve">https://openEHR.org/products_tools/platform/</w:t>
        </w:r>
      </w:hyperlink>
      <w:r>
        <w:t xml:space="preserve">. EHRbase: https://www.ehrbase.org/</w:t>
      </w:r>
    </w:p>
  </w:footnote>
  <w:footnote w:id="35">
    <w:p>
      <w:pPr>
        <w:pStyle w:val="FootnoteText"/>
      </w:pPr>
      <w:r>
        <w:rPr>
          <w:rStyle w:val="FootnoteReference"/>
        </w:rPr>
        <w:footnoteRef/>
      </w:r>
      <w:r>
        <w:t xml:space="preserve"> </w:t>
      </w:r>
      <w:hyperlink r:id="rId36">
        <w:r>
          <w:rPr>
            <w:rStyle w:val="Hyperlink"/>
          </w:rPr>
          <w:t xml:space="preserve">https://deltaplus.azdelta.be/az-delta30/zorginnovatie</w:t>
        </w:r>
      </w:hyperlink>
    </w:p>
  </w:footnote>
  <w:footnote w:id="37">
    <w:p>
      <w:pPr>
        <w:pStyle w:val="FootnoteText"/>
      </w:pPr>
      <w:r>
        <w:rPr>
          <w:rStyle w:val="FootnoteReference"/>
        </w:rPr>
        <w:footnoteRef/>
      </w:r>
      <w:r>
        <w:t xml:space="preserve"> </w:t>
      </w:r>
      <w:hyperlink r:id="rId38">
        <w:r>
          <w:rPr>
            <w:rStyle w:val="Hyperlink"/>
          </w:rPr>
          <w:t xml:space="preserve">https://omoponfhir.org</w:t>
        </w:r>
      </w:hyperlink>
    </w:p>
  </w:footnote>
  <w:footnote w:id="43">
    <w:p>
      <w:pPr>
        <w:pStyle w:val="FootnoteText"/>
      </w:pPr>
      <w:r>
        <w:rPr>
          <w:rStyle w:val="FootnoteReference"/>
        </w:rPr>
        <w:footnoteRef/>
      </w:r>
      <w:r>
        <w:t xml:space="preserve"> </w:t>
      </w:r>
      <w:r>
        <w:t xml:space="preserve">See</w:t>
      </w:r>
      <w:r>
        <w:t xml:space="preserve"> </w:t>
      </w:r>
      <w:hyperlink r:id="rId44">
        <w:r>
          <w:rPr>
            <w:rStyle w:val="Hyperlink"/>
          </w:rPr>
          <w:t xml:space="preserve">https://arrow.apache.org</w:t>
        </w:r>
      </w:hyperlink>
      <w:r>
        <w:t xml:space="preserve">,</w:t>
      </w:r>
      <w:r>
        <w:t xml:space="preserve"> </w:t>
      </w:r>
      <w:hyperlink r:id="rId45">
        <w:r>
          <w:rPr>
            <w:rStyle w:val="Hyperlink"/>
          </w:rPr>
          <w:t xml:space="preserve">https://parquet.apache.org</w:t>
        </w:r>
      </w:hyperlink>
      <w:r>
        <w:t xml:space="preserve"> </w:t>
      </w:r>
      <w:r>
        <w:t xml:space="preserve">and</w:t>
      </w:r>
      <w:r>
        <w:t xml:space="preserve"> </w:t>
      </w:r>
      <w:hyperlink r:id="rId46">
        <w:r>
          <w:rPr>
            <w:rStyle w:val="Hyperlink"/>
          </w:rPr>
          <w:t xml:space="preserve">https://iceberg.apache.org</w:t>
        </w:r>
      </w:hyperlink>
    </w:p>
  </w:footnote>
  <w:footnote w:id="52">
    <w:p>
      <w:pPr>
        <w:pStyle w:val="FootnoteText"/>
      </w:pPr>
      <w:r>
        <w:rPr>
          <w:rStyle w:val="FootnoteReference"/>
        </w:rPr>
        <w:footnoteRef/>
      </w:r>
      <w:r>
        <w:t xml:space="preserve"> </w:t>
      </w:r>
      <w:hyperlink r:id="rId53">
        <w:r>
          <w:rPr>
            <w:rStyle w:val="Hyperlink"/>
          </w:rPr>
          <w:t xml:space="preserve">https://hapifhir.io</w:t>
        </w:r>
      </w:hyperlink>
    </w:p>
  </w:footnote>
  <w:footnote w:id="59">
    <w:p>
      <w:pPr>
        <w:pStyle w:val="FootnoteText"/>
      </w:pPr>
      <w:r>
        <w:rPr>
          <w:rStyle w:val="FootnoteReference"/>
        </w:rPr>
        <w:footnoteRef/>
      </w:r>
      <w:r>
        <w:t xml:space="preserve"> </w:t>
      </w:r>
      <w:hyperlink r:id="rId60">
        <w:r>
          <w:rPr>
            <w:rStyle w:val="Hyperlink"/>
          </w:rPr>
          <w:t xml:space="preserve">https://developers.google.com/open-health-stack</w:t>
        </w:r>
      </w:hyperlink>
    </w:p>
  </w:footnote>
  <w:footnote w:id="66">
    <w:p>
      <w:pPr>
        <w:pStyle w:val="FootnoteText"/>
      </w:pPr>
      <w:r>
        <w:rPr>
          <w:rStyle w:val="FootnoteReference"/>
        </w:rPr>
        <w:footnoteRef/>
      </w:r>
      <w:r>
        <w:t xml:space="preserve"> </w:t>
      </w:r>
      <w:hyperlink r:id="rId67">
        <w:r>
          <w:rPr>
            <w:rStyle w:val="Hyperlink"/>
          </w:rPr>
          <w:t xml:space="preserve">https://getdbt.com</w:t>
        </w:r>
      </w:hyperlink>
    </w:p>
  </w:footnote>
  <w:footnote w:id="68">
    <w:p>
      <w:pPr>
        <w:pStyle w:val="FootnoteText"/>
      </w:pPr>
      <w:r>
        <w:rPr>
          <w:rStyle w:val="FootnoteReference"/>
        </w:rPr>
        <w:footnoteRef/>
      </w:r>
      <w:r>
        <w:t xml:space="preserve"> </w:t>
      </w:r>
      <w:hyperlink r:id="rId69">
        <w:r>
          <w:rPr>
            <w:rStyle w:val="Hyperlink"/>
          </w:rPr>
          <w:t xml:space="preserve">https://www.getdbt.com/</w:t>
        </w:r>
      </w:hyperlink>
    </w:p>
  </w:footnote>
  <w:footnote w:id="71">
    <w:p>
      <w:pPr>
        <w:pStyle w:val="FootnoteText"/>
      </w:pPr>
      <w:r>
        <w:rPr>
          <w:rStyle w:val="FootnoteReference"/>
        </w:rPr>
        <w:footnoteRef/>
      </w:r>
      <w:r>
        <w:t xml:space="preserve"> </w:t>
      </w:r>
      <w:hyperlink r:id="rId72">
        <w:r>
          <w:rPr>
            <w:rStyle w:val="Hyperlink"/>
          </w:rPr>
          <w:t xml:space="preserve">https://jembi.gitbook.io/instant-v2</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hyperlink" Id="rId44" Target="https://arrow.apache.org" TargetMode="External" /><Relationship Type="http://schemas.openxmlformats.org/officeDocument/2006/relationships/hyperlink" Id="rId24" Target="https://build.fhir.org/ig/FHIR/sql-on-fhir-v2/" TargetMode="External" /><Relationship Type="http://schemas.openxmlformats.org/officeDocument/2006/relationships/hyperlink" Id="rId26" Target="https://confluence.hl7.org/display/FHIR/Open+Source+Implementations" TargetMode="External" /><Relationship Type="http://schemas.openxmlformats.org/officeDocument/2006/relationships/hyperlink" Id="rId36" Target="https://deltaplus.azdelta.be/az-delta30/zorginnovatie" TargetMode="External" /><Relationship Type="http://schemas.openxmlformats.org/officeDocument/2006/relationships/hyperlink" Id="rId60" Target="https://developers.google.com/open-health-stack" TargetMode="External" /><Relationship Type="http://schemas.openxmlformats.org/officeDocument/2006/relationships/hyperlink" Id="rId64" Target="https://docs.opensrp.io/" TargetMode="External" /><Relationship Type="http://schemas.openxmlformats.org/officeDocument/2006/relationships/hyperlink" Id="rId7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79" Target="https://doi.org/10.1016/j.jbi.2023.104338" TargetMode="External" /><Relationship Type="http://schemas.openxmlformats.org/officeDocument/2006/relationships/hyperlink" Id="rId116" Target="https://doi.org/10.1016/j.jbi.2024.104661" TargetMode="External" /><Relationship Type="http://schemas.openxmlformats.org/officeDocument/2006/relationships/hyperlink" Id="rId142" Target="https://doi.org/10.1016/j.xcrm.2024.101419" TargetMode="External" /><Relationship Type="http://schemas.openxmlformats.org/officeDocument/2006/relationships/hyperlink" Id="rId133" Target="https://doi.org/10.1038/s41746-020-00323-1" TargetMode="External" /><Relationship Type="http://schemas.openxmlformats.org/officeDocument/2006/relationships/hyperlink" Id="rId114" Target="https://doi.org/10.1038/s41746-020-00358-4" TargetMode="External" /><Relationship Type="http://schemas.openxmlformats.org/officeDocument/2006/relationships/hyperlink" Id="rId81" Target="https://doi.org/10.1055/s-0043-1768711" TargetMode="External" /><Relationship Type="http://schemas.openxmlformats.org/officeDocument/2006/relationships/hyperlink" Id="rId83" Target="https://doi.org/10.1057/s41265-016-0033-3" TargetMode="External" /><Relationship Type="http://schemas.openxmlformats.org/officeDocument/2006/relationships/hyperlink" Id="rId100"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119" Target="https://doi.org/10.1093/oodh/oqad018" TargetMode="External" /><Relationship Type="http://schemas.openxmlformats.org/officeDocument/2006/relationships/hyperlink" Id="rId93" Target="https://doi.org/10.1109/BigData55660.2022.10020719" TargetMode="External" /><Relationship Type="http://schemas.openxmlformats.org/officeDocument/2006/relationships/hyperlink" Id="rId91" Target="https://doi.org/10.1109/TKDE.2023.3270101" TargetMode="External" /><Relationship Type="http://schemas.openxmlformats.org/officeDocument/2006/relationships/hyperlink" Id="rId86" Target="https://doi.org/10.1126/science.1196187" TargetMode="External" /><Relationship Type="http://schemas.openxmlformats.org/officeDocument/2006/relationships/hyperlink" Id="rId75" Target="https://doi.org/10.1145/3274770" TargetMode="External" /><Relationship Type="http://schemas.openxmlformats.org/officeDocument/2006/relationships/hyperlink" Id="rId107" Target="https://doi.org/10.1183/23120541.00168-2022" TargetMode="External" /><Relationship Type="http://schemas.openxmlformats.org/officeDocument/2006/relationships/hyperlink" Id="rId124" Target="https://doi.org/10.1186/s12911-021-01499-6" TargetMode="External" /><Relationship Type="http://schemas.openxmlformats.org/officeDocument/2006/relationships/hyperlink" Id="rId112" Target="https://doi.org/10.1371/journal.pdig.0000118" TargetMode="External" /><Relationship Type="http://schemas.openxmlformats.org/officeDocument/2006/relationships/hyperlink" Id="rId89" Target="https://doi.org/10.1371/journal.pone.0223010" TargetMode="External" /><Relationship Type="http://schemas.openxmlformats.org/officeDocument/2006/relationships/hyperlink" Id="rId127" Target="https://doi.org/10.14778/3603581.3603604" TargetMode="External" /><Relationship Type="http://schemas.openxmlformats.org/officeDocument/2006/relationships/hyperlink" Id="rId95" Target="https://doi.org/10.2139/ssrn.4765588" TargetMode="External" /><Relationship Type="http://schemas.openxmlformats.org/officeDocument/2006/relationships/hyperlink" Id="rId131"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09" Target="https://doi.org/10.2991/ichs-18.2019.21" TargetMode="External" /><Relationship Type="http://schemas.openxmlformats.org/officeDocument/2006/relationships/hyperlink" Id="rId137" Target="https://doi.org/10.3233/SHTI220682" TargetMode="External" /><Relationship Type="http://schemas.openxmlformats.org/officeDocument/2006/relationships/hyperlink" Id="rId102" Target="https://doi.org/10.7189/jogh.12.04090"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7" Target="https://getdbt.com" TargetMode="External" /><Relationship Type="http://schemas.openxmlformats.org/officeDocument/2006/relationships/hyperlink" Id="rId53" Target="https://hapifhir.io" TargetMode="External" /><Relationship Type="http://schemas.openxmlformats.org/officeDocument/2006/relationships/hyperlink" Id="rId46" Target="https://iceberg.apache.org" TargetMode="External" /><Relationship Type="http://schemas.openxmlformats.org/officeDocument/2006/relationships/hyperlink" Id="rId57" Target="https://jembi.gitbook.io/" TargetMode="External" /><Relationship Type="http://schemas.openxmlformats.org/officeDocument/2006/relationships/hyperlink" Id="rId72" Target="https://jembi.gitbook.io/instant-v2" TargetMode="External" /><Relationship Type="http://schemas.openxmlformats.org/officeDocument/2006/relationships/hyperlink" Id="rId38" Target="https://omoponfhir.org" TargetMode="External" /><Relationship Type="http://schemas.openxmlformats.org/officeDocument/2006/relationships/hyperlink" Id="rId28" Target="https://openEHR.org/products_tools/platform/" TargetMode="External" /><Relationship Type="http://schemas.openxmlformats.org/officeDocument/2006/relationships/hyperlink" Id="rId45" Target="https://parquet.apache.org" TargetMode="External" /><Relationship Type="http://schemas.openxmlformats.org/officeDocument/2006/relationships/hyperlink" Id="rId30" Target="https://plugin.healthcare" TargetMode="External" /><Relationship Type="http://schemas.openxmlformats.org/officeDocument/2006/relationships/hyperlink" Id="rId69" Target="https://www.getdbt.com/" TargetMode="External" /><Relationship Type="http://schemas.openxmlformats.org/officeDocument/2006/relationships/hyperlink" Id="rId27" Target="https://www.ohdsi.org/software-tools/" TargetMode="External" /></Relationships>
</file>

<file path=word/_rels/footnotes.xml.rels><?xml version="1.0" encoding="UTF-8"?><Relationships xmlns="http://schemas.openxmlformats.org/package/2006/relationships"><Relationship Type="http://schemas.openxmlformats.org/officeDocument/2006/relationships/hyperlink" Id="rId44" Target="https://arrow.apache.org" TargetMode="External" /><Relationship Type="http://schemas.openxmlformats.org/officeDocument/2006/relationships/hyperlink" Id="rId24" Target="https://build.fhir.org/ig/FHIR/sql-on-fhir-v2/" TargetMode="External" /><Relationship Type="http://schemas.openxmlformats.org/officeDocument/2006/relationships/hyperlink" Id="rId26" Target="https://confluence.hl7.org/display/FHIR/Open+Source+Implementations" TargetMode="External" /><Relationship Type="http://schemas.openxmlformats.org/officeDocument/2006/relationships/hyperlink" Id="rId36" Target="https://deltaplus.azdelta.be/az-delta30/zorginnovatie" TargetMode="External" /><Relationship Type="http://schemas.openxmlformats.org/officeDocument/2006/relationships/hyperlink" Id="rId60" Target="https://developers.google.com/open-health-stack" TargetMode="External" /><Relationship Type="http://schemas.openxmlformats.org/officeDocument/2006/relationships/hyperlink" Id="rId64" Target="https://docs.opensrp.io/" TargetMode="External" /><Relationship Type="http://schemas.openxmlformats.org/officeDocument/2006/relationships/hyperlink" Id="rId7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35"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79" Target="https://doi.org/10.1016/j.jbi.2023.104338" TargetMode="External" /><Relationship Type="http://schemas.openxmlformats.org/officeDocument/2006/relationships/hyperlink" Id="rId116" Target="https://doi.org/10.1016/j.jbi.2024.104661" TargetMode="External" /><Relationship Type="http://schemas.openxmlformats.org/officeDocument/2006/relationships/hyperlink" Id="rId142" Target="https://doi.org/10.1016/j.xcrm.2024.101419" TargetMode="External" /><Relationship Type="http://schemas.openxmlformats.org/officeDocument/2006/relationships/hyperlink" Id="rId133" Target="https://doi.org/10.1038/s41746-020-00323-1" TargetMode="External" /><Relationship Type="http://schemas.openxmlformats.org/officeDocument/2006/relationships/hyperlink" Id="rId114" Target="https://doi.org/10.1038/s41746-020-00358-4" TargetMode="External" /><Relationship Type="http://schemas.openxmlformats.org/officeDocument/2006/relationships/hyperlink" Id="rId81" Target="https://doi.org/10.1055/s-0043-1768711" TargetMode="External" /><Relationship Type="http://schemas.openxmlformats.org/officeDocument/2006/relationships/hyperlink" Id="rId83" Target="https://doi.org/10.1057/s41265-016-0033-3" TargetMode="External" /><Relationship Type="http://schemas.openxmlformats.org/officeDocument/2006/relationships/hyperlink" Id="rId100"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119" Target="https://doi.org/10.1093/oodh/oqad018" TargetMode="External" /><Relationship Type="http://schemas.openxmlformats.org/officeDocument/2006/relationships/hyperlink" Id="rId93" Target="https://doi.org/10.1109/BigData55660.2022.10020719" TargetMode="External" /><Relationship Type="http://schemas.openxmlformats.org/officeDocument/2006/relationships/hyperlink" Id="rId91" Target="https://doi.org/10.1109/TKDE.2023.3270101" TargetMode="External" /><Relationship Type="http://schemas.openxmlformats.org/officeDocument/2006/relationships/hyperlink" Id="rId86" Target="https://doi.org/10.1126/science.1196187" TargetMode="External" /><Relationship Type="http://schemas.openxmlformats.org/officeDocument/2006/relationships/hyperlink" Id="rId75" Target="https://doi.org/10.1145/3274770" TargetMode="External" /><Relationship Type="http://schemas.openxmlformats.org/officeDocument/2006/relationships/hyperlink" Id="rId107" Target="https://doi.org/10.1183/23120541.00168-2022" TargetMode="External" /><Relationship Type="http://schemas.openxmlformats.org/officeDocument/2006/relationships/hyperlink" Id="rId124" Target="https://doi.org/10.1186/s12911-021-01499-6" TargetMode="External" /><Relationship Type="http://schemas.openxmlformats.org/officeDocument/2006/relationships/hyperlink" Id="rId112" Target="https://doi.org/10.1371/journal.pdig.0000118" TargetMode="External" /><Relationship Type="http://schemas.openxmlformats.org/officeDocument/2006/relationships/hyperlink" Id="rId89" Target="https://doi.org/10.1371/journal.pone.0223010" TargetMode="External" /><Relationship Type="http://schemas.openxmlformats.org/officeDocument/2006/relationships/hyperlink" Id="rId127" Target="https://doi.org/10.14778/3603581.3603604" TargetMode="External" /><Relationship Type="http://schemas.openxmlformats.org/officeDocument/2006/relationships/hyperlink" Id="rId95" Target="https://doi.org/10.2139/ssrn.4765588" TargetMode="External" /><Relationship Type="http://schemas.openxmlformats.org/officeDocument/2006/relationships/hyperlink" Id="rId131" Target="https://doi.org/10.2196/jmir.1521" TargetMode="External" /><Relationship Type="http://schemas.openxmlformats.org/officeDocument/2006/relationships/hyperlink" Id="rId140" Target="https://doi.org/10.2196/medinform.8131" TargetMode="External" /><Relationship Type="http://schemas.openxmlformats.org/officeDocument/2006/relationships/hyperlink" Id="rId109" Target="https://doi.org/10.2991/ichs-18.2019.21" TargetMode="External" /><Relationship Type="http://schemas.openxmlformats.org/officeDocument/2006/relationships/hyperlink" Id="rId137" Target="https://doi.org/10.3233/SHTI220682" TargetMode="External" /><Relationship Type="http://schemas.openxmlformats.org/officeDocument/2006/relationships/hyperlink" Id="rId102" Target="https://doi.org/10.7189/jogh.12.04090"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67" Target="https://getdbt.com" TargetMode="External" /><Relationship Type="http://schemas.openxmlformats.org/officeDocument/2006/relationships/hyperlink" Id="rId53" Target="https://hapifhir.io" TargetMode="External" /><Relationship Type="http://schemas.openxmlformats.org/officeDocument/2006/relationships/hyperlink" Id="rId46" Target="https://iceberg.apache.org" TargetMode="External" /><Relationship Type="http://schemas.openxmlformats.org/officeDocument/2006/relationships/hyperlink" Id="rId57" Target="https://jembi.gitbook.io/" TargetMode="External" /><Relationship Type="http://schemas.openxmlformats.org/officeDocument/2006/relationships/hyperlink" Id="rId72" Target="https://jembi.gitbook.io/instant-v2" TargetMode="External" /><Relationship Type="http://schemas.openxmlformats.org/officeDocument/2006/relationships/hyperlink" Id="rId38" Target="https://omoponfhir.org" TargetMode="External" /><Relationship Type="http://schemas.openxmlformats.org/officeDocument/2006/relationships/hyperlink" Id="rId28" Target="https://openEHR.org/products_tools/platform/" TargetMode="External" /><Relationship Type="http://schemas.openxmlformats.org/officeDocument/2006/relationships/hyperlink" Id="rId45" Target="https://parquet.apache.org" TargetMode="External" /><Relationship Type="http://schemas.openxmlformats.org/officeDocument/2006/relationships/hyperlink" Id="rId30" Target="https://plugin.healthcare" TargetMode="External" /><Relationship Type="http://schemas.openxmlformats.org/officeDocument/2006/relationships/hyperlink" Id="rId69" Target="https://www.getdbt.com/" TargetMode="External" /><Relationship Type="http://schemas.openxmlformats.org/officeDocument/2006/relationships/hyperlink" Id="rId27" Target="https://www.ohdsi.org/software-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 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2024-09-17T14:37:25Z</dcterms:created>
  <dcterms:modified xsi:type="dcterms:W3CDTF">2024-09-17T14:37:25Z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ference-section-title">
    <vt:lpwstr>References</vt:lpwstr>
  </property>
  <property fmtid="{D5CDD505-2E9C-101B-9397-08002B2CF9AE}" pid="14" name="toc-title">
    <vt:lpwstr>Table of contents</vt:lpwstr>
  </property>
</Properties>
</file>