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9.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present our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5"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We posit that open source implementations of components, libraries etc. constitute another necessary condition for establishing a flourishing health data sharing platform and associated ecosystem for any given context, be it regional, international or within a specific sub-domain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fullfilled can we resonably expect that the platform will indeed be longlived.</w:t>
      </w:r>
    </w:p>
    <w:p>
      <w:pPr>
        <w:pStyle w:val="BodyText"/>
      </w:pPr>
      <w:r>
        <w:t xml:space="preserve">In what they call the paradox of open, Keller and Tarkowsi argue that this conventional approach of open standards and open source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has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w:t>
      </w:r>
      <w:r>
        <w:rPr>
          <w:rStyle w:val="FootnoteReference"/>
        </w:rPr>
        <w:footnoteReference w:id="24"/>
      </w:r>
    </w:p>
    <w:p>
      <w:pPr>
        <w:pStyle w:val="BodyText"/>
      </w:pPr>
      <w:r>
        <w:t xml:space="preserve">Hence, we stress that beyond the evaluating the instrinic structure of an open standard and the community that supports the standard, we need to take into account the wider ecosystem of open source implementations, complementary components etc.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5"/>
    <w:bookmarkStart w:id="35" w:name="X060f4b9a1663e1d144d0b39caabbb15e1ec9b38"/>
    <w:p>
      <w:pPr>
        <w:pStyle w:val="Heading2"/>
      </w:pPr>
      <w:r>
        <w:t xml:space="preserve">Standarization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26">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overview of the platform, which comprises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0" w:name="fig-healthri-architecture"/>
          <w:p>
            <w:pPr>
              <w:pStyle w:val="Compact"/>
              <w:jc w:val="center"/>
            </w:pPr>
            <w:r>
              <w:drawing>
                <wp:inline>
                  <wp:extent cx="5334000" cy="3908821"/>
                  <wp:effectExtent b="0" l="0" r="0" t="0"/>
                  <wp:docPr descr="" title="" id="28" name="Picture"/>
                  <a:graphic>
                    <a:graphicData uri="http://schemas.openxmlformats.org/drawingml/2006/picture">
                      <pic:pic>
                        <pic:nvPicPr>
                          <pic:cNvPr descr="health-ri-architecture.png" id="29" name="Picture"/>
                          <pic:cNvPicPr>
                            <a:picLocks noChangeArrowheads="1" noChangeAspect="1"/>
                          </pic:cNvPicPr>
                        </pic:nvPicPr>
                        <pic:blipFill>
                          <a:blip r:embed="rId27"/>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0"/>
        </w:tc>
      </w:tr>
    </w:tbl>
    <w:p>
      <w:pPr>
        <w:pStyle w:val="BodyText"/>
      </w:pPr>
      <w:r>
        <w:t xml:space="preserve">Following the line of reasoning of Tsafnat et al., OMOP would be the go-to standard for storing the longitudinal data in each of the data stations. Indeed, by now there are quite a few reports of real-world implementations of federated learning networks based on the OHDSI-OMOP stack, including a global infrastructure with 22 centres for COVID19 prediction models</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FEIN network [TO DO: add reference].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similar FL infrastructure in Canada, compared OMOP and FHIR and chose the latter as it has been found to support more granular mappings required for analytics</w:t>
      </w:r>
      <w:r>
        <w:t xml:space="preserve"> </w:t>
      </w:r>
      <w:r>
        <w:t xml:space="preserve">(Mullie et al. 2023)</w:t>
      </w:r>
      <w:r>
        <w:t xml:space="preserve">. The fair4health project has implemented also based on FHIR, using their own open source framework for the federated learning infrastructure itself</w:t>
      </w:r>
      <w:r>
        <w:t xml:space="preserve"> </w:t>
      </w:r>
      <w:r>
        <w:t xml:space="preserve">(Sinaci et al. 2024)</w:t>
      </w:r>
      <w:r>
        <w:t xml:space="preserve">.</w:t>
      </w:r>
    </w:p>
    <w:p>
      <w:pPr>
        <w:pStyle w:val="BodyText"/>
      </w:pPr>
      <w:r>
        <w:t xml:space="preserve">Given that conceptually OMOP can be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https://omoponfhir.org indeed will foster convergence rather than collision between these two standards.</w:t>
      </w:r>
    </w:p>
    <w:p>
      <w:pPr>
        <w:pStyle w:val="BodyText"/>
      </w:pPr>
      <w:r>
        <w:t xml:space="preserve">In the case of PLUGIN, however, we had other considerations to choose FHIR as the persistent storage format of the data stations. One of the important considerations is that we found that the mechanism of FHIR Profiles can be tied to concept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 restrictive when ingesting the data at the start of processing pipeline. Late binding in data warehousing is a design philosophy where data transformation and schema enforcement are deferred until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 of the data, we only require the data to conform to the minimal syntactic standard defined by the base FHIR version (R4 in the diagram). As the data is processed, more strict checks and constrains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34" w:name="fig-late-binding"/>
          <w:p>
            <w:pPr>
              <w:pStyle w:val="Compact"/>
              <w:jc w:val="center"/>
            </w:pPr>
            <w:r>
              <w:drawing>
                <wp:inline>
                  <wp:extent cx="5334000" cy="2736938"/>
                  <wp:effectExtent b="0" l="0" r="0" t="0"/>
                  <wp:docPr descr="" title="" id="32" name="Picture"/>
                  <a:graphic>
                    <a:graphicData uri="http://schemas.openxmlformats.org/drawingml/2006/picture">
                      <pic:pic>
                        <pic:nvPicPr>
                          <pic:cNvPr descr="late-binding.png" id="33" name="Picture"/>
                          <pic:cNvPicPr>
                            <a:picLocks noChangeArrowheads="1" noChangeAspect="1"/>
                          </pic:cNvPicPr>
                        </pic:nvPicPr>
                        <pic:blipFill>
                          <a:blip r:embed="rId31"/>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w:t>
            </w:r>
          </w:p>
          <w:bookmarkEnd w:id="34"/>
        </w:tc>
      </w:tr>
    </w:tbl>
    <w:p>
      <w:pPr>
        <w:pStyle w:val="BodyText"/>
      </w:pPr>
      <w:r>
        <w:t xml:space="preserve">We found that this principle of late binding also allows flexible and efficient implementations of the data stations that make use of the current best practices of the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w:t>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[TO DO: add more arguments here, finish this section with conclusion/summary for this use-case]</w:t>
      </w:r>
    </w:p>
    <w:bookmarkEnd w:id="35"/>
    <w:bookmarkStart w:id="43" w:name="Xc5e3e36b6edd787ea1fca78efbadb49866b039a"/>
    <w:p>
      <w:pPr>
        <w:pStyle w:val="Heading2"/>
      </w:pPr>
      <w:r>
        <w:t xml:space="preserve">Health data standards in low- and middle income countries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 beyond project-centric, vertical solutions into sustainable health information exchanges. And also here, many have called to converge towards open standards</w:t>
      </w:r>
      <w:r>
        <w:t xml:space="preserve"> </w:t>
      </w:r>
      <w:r>
        <w:t xml:space="preserve">(Mehl et al. 2023)</w:t>
      </w:r>
      <w:r>
        <w:t xml:space="preserve">. Based on our direct involvement in implementing and designing health data platforms in sub-Saharan African countries, and in line with the approach put forward by Mehl et al., we emphasis the need for convergence not only on i) open standards, but also on ii) open technologies (similar to our arguments discussed in the above), iii) open architectures (doucmentation, using open standards, of reusable enterprise architecture patterns for health systems) and iv) open content (representations of public health, health system or clinical knowledge to guide implementations).</w:t>
      </w:r>
    </w:p>
    <w:p>
      <w:pPr>
        <w:pStyle w:val="BodyText"/>
      </w:pPr>
      <w:r>
        <w:t xml:space="preserve">Many sub-Saharan African countries have adopted the OpenHIE framework</w:t>
      </w:r>
      <w:r>
        <w:t xml:space="preserve"> </w:t>
      </w:r>
      <w:r>
        <w:t xml:space="preserve">(</w:t>
      </w:r>
      <w:r>
        <w:t xml:space="preserve">“</w:t>
      </w:r>
      <w:r>
        <w:t xml:space="preserve">OpenHIE Framework</w:t>
      </w:r>
      <w:r>
        <w:t xml:space="preserve"> </w:t>
      </w:r>
      <w:r>
        <w:t xml:space="preserve">V5.0”</w:t>
      </w:r>
      <w:r>
        <w:t xml:space="preserve"> </w:t>
      </w:r>
      <w:r>
        <w:t xml:space="preserve">2022)</w:t>
      </w:r>
      <w:r>
        <w:t xml:space="preserve"> </w:t>
      </w:r>
      <w:r>
        <w:t xml:space="preserve">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 While the OpenHIE specification is agnostic to which data standard should be used, in practice the digital health community in the global South have</w:t>
      </w:r>
      <w:r>
        <w:t xml:space="preserve"> </w:t>
      </w:r>
      <w:r>
        <w:rPr>
          <w:iCs/>
          <w:i/>
        </w:rPr>
        <w:t xml:space="preserve">de facto</w:t>
      </w:r>
      <w:r>
        <w:t xml:space="preserve"> </w:t>
      </w:r>
      <w:r>
        <w:t xml:space="preserve">converged towards FHIR as the common data model, not only for data exchange, but also for point-of-service systems to support clinical care and administration, and persistent, longitudinal storage of data in the so-called Shared Health Record</w:t>
      </w:r>
      <w:r>
        <w:t xml:space="preserve"> </w:t>
      </w:r>
      <w:r>
        <w:t xml:space="preserve">(</w:t>
      </w:r>
      <w:r>
        <w:t xml:space="preserve">“</w:t>
      </w:r>
      <w:r>
        <w:t xml:space="preserve">OHIE23 Unconference</w:t>
      </w:r>
      <w:r>
        <w:t xml:space="preserve"> </w:t>
      </w:r>
      <w:r>
        <w:t xml:space="preserve">101”</w:t>
      </w:r>
      <w:r>
        <w:t xml:space="preserve"> </w:t>
      </w:r>
      <w:r>
        <w:t xml:space="preserve">2023)</w:t>
      </w:r>
      <w:r>
        <w:t xml:space="preserve">. The adoption of FHIR as the default standard for all three domains is fueled by the widespread availibility of open-access software infrastructure which enables an end-to-end integration. To illustrate this, consider for example, the Open Health Stack (OHS) consists of a new suite of digital public goods, including a software development kit for building FHIR-native apps on Android, and analytics tooling to generate insights from FHIR data. This solution design blurs the distinction between the three original domains for health data standardization.</w:t>
      </w:r>
    </w:p>
    <w:p>
      <w:pPr>
        <w:pStyle w:val="BodyText"/>
      </w:pPr>
      <w:r>
        <w:t xml:space="preserve">Arguments to add:</w:t>
      </w:r>
    </w:p>
    <w:p>
      <w:pPr>
        <w:numPr>
          <w:ilvl w:val="0"/>
          <w:numId w:val="1001"/>
        </w:numPr>
        <w:pStyle w:val="Compact"/>
      </w:pPr>
      <w:r>
        <w:t xml:space="preserve">explain that we don’t see OpenEHR playing any role of significance. Largest open source EHR implementations working with own data models. Unlikely this will change any time soon</w:t>
      </w:r>
      <w:r>
        <w:t xml:space="preserve"> </w:t>
      </w:r>
      <w:r>
        <w:t xml:space="preserve">(Syzdykova et al. 2017)</w:t>
      </w:r>
    </w:p>
    <w:p>
      <w:pPr>
        <w:numPr>
          <w:ilvl w:val="0"/>
          <w:numId w:val="1001"/>
        </w:numPr>
        <w:pStyle w:val="Compact"/>
      </w:pPr>
      <w:r>
        <w:t xml:space="preserve">instead, we see that FHIR is in fact being adopted as a point-of-service system. this is possible because data is of lower complexity and the majority of smaller health facilities are resource constrained anyway –&gt; moving towards a scenario where an app used by the health care worker is the system of record. Here we see a convergence of the three domains put forward by Tsafnat: the Shared Health Record serves as the back-end of the system-of-record, it provides a transactional, persistent storage engine for enabling information exchange and it is the longitudinal data that is used downstream for analytics, monitoring etc.</w:t>
      </w:r>
    </w:p>
    <w:p>
      <w:pPr>
        <w:numPr>
          <w:ilvl w:val="0"/>
          <w:numId w:val="1001"/>
        </w:numPr>
        <w:pStyle w:val="Compact"/>
      </w:pPr>
      <w:r>
        <w:t xml:space="preserve">explain example OHS/OpenSRP: maternal care</w:t>
      </w:r>
    </w:p>
    <w:p>
      <w:pPr>
        <w:numPr>
          <w:ilvl w:val="0"/>
          <w:numId w:val="1001"/>
        </w:numPr>
        <w:pStyle w:val="Compact"/>
      </w:pPr>
    </w:p>
    <w:p>
      <w:pPr>
        <w:numPr>
          <w:ilvl w:val="1"/>
          <w:numId w:val="1002"/>
        </w:numPr>
        <w:pStyle w:val="Compact"/>
      </w:pPr>
      <w:r>
        <w:t xml:space="preserve">explain there is lot of complementatry open technologies and open content, to get going</w:t>
      </w:r>
    </w:p>
    <w:p>
      <w:pPr>
        <w:numPr>
          <w:ilvl w:val="1"/>
          <w:numId w:val="1002"/>
        </w:numPr>
        <w:pStyle w:val="Compact"/>
      </w:pPr>
      <w:r>
        <w:t xml:space="preserve">and SDK to build apps</w:t>
      </w:r>
    </w:p>
    <w:p>
      <w:pPr>
        <w:numPr>
          <w:ilvl w:val="1"/>
          <w:numId w:val="1002"/>
        </w:numPr>
        <w:pStyle w:val="Compact"/>
      </w:pPr>
      <w:r>
        <w:t xml:space="preserve">Clinical workflows which can be configured in a FHIR-native front- and backend</w:t>
      </w:r>
    </w:p>
    <w:p>
      <w:pPr>
        <w:numPr>
          <w:ilvl w:val="1"/>
          <w:numId w:val="1002"/>
        </w:numPr>
        <w:pStyle w:val="Compact"/>
      </w:pPr>
      <w:r>
        <w:t xml:space="preserve">InstantHIE to deploy a swarm of containers to provision all relevant components</w:t>
      </w:r>
    </w:p>
    <w:p>
      <w:pPr>
        <w:numPr>
          <w:ilvl w:val="1"/>
          <w:numId w:val="1002"/>
        </w:numPr>
        <w:pStyle w:val="Compact"/>
      </w:pPr>
      <w:r>
        <w:t xml:space="preserve">leverage open source data &amp; analytics components to build data stations/data warehouses at any scle</w:t>
      </w:r>
    </w:p>
    <w:p>
      <w:pPr>
        <w:numPr>
          <w:ilvl w:val="0"/>
          <w:numId w:val="1001"/>
        </w:numPr>
        <w:pStyle w:val="Compact"/>
      </w:pPr>
      <w:r>
        <w:t xml:space="preserve">also technical advantages of FHIR</w:t>
      </w:r>
    </w:p>
    <w:p>
      <w:pPr>
        <w:numPr>
          <w:ilvl w:val="1"/>
          <w:numId w:val="1003"/>
        </w:numPr>
        <w:pStyle w:val="Compact"/>
      </w:pPr>
      <w:r>
        <w:t xml:space="preserve">explain that because FHIR is based on web technologies, it lends it self serverless implementations, separation of storage and compute(ref composable data stack); and downward scaleability (running in the browser)</w:t>
      </w:r>
    </w:p>
    <w:p>
      <w:pPr>
        <w:numPr>
          <w:ilvl w:val="1"/>
          <w:numId w:val="1003"/>
        </w:numPr>
        <w:pStyle w:val="Compact"/>
      </w:pPr>
      <w:r>
        <w:t xml:space="preserve">how does this relate to ontologies/graph-based? FHIR can be expressed in graphs</w:t>
      </w:r>
      <w:r>
        <w:t xml:space="preserve"> </w:t>
      </w:r>
      <w:r>
        <w:t xml:space="preserve">(Gebreslassie et al. 2023)</w:t>
      </w:r>
      <w:r>
        <w:t xml:space="preserve">]</w:t>
      </w:r>
    </w:p>
    <w:p>
      <w:pPr>
        <w:numPr>
          <w:ilvl w:val="0"/>
          <w:numId w:val="1001"/>
        </w:numPr>
        <w:pStyle w:val="Compact"/>
      </w:pPr>
      <w:r>
        <w:t xml:space="preserve">main disadvantages</w:t>
      </w:r>
    </w:p>
    <w:p>
      <w:pPr>
        <w:numPr>
          <w:ilvl w:val="1"/>
          <w:numId w:val="1004"/>
        </w:numPr>
        <w:pStyle w:val="Compact"/>
      </w:pPr>
      <w:r>
        <w:t xml:space="preserve">FHIR profiling and versions. Still lot of work to be done prevent sprawl of profiles. Many LMICs still lack a standardized, national core profile. Inititives such as the International Patient Summary can be used as a stepping stone to provide arrive at a consistent profile for high-volume, low-complexity care such as maternal and antenatal care (ANC) and non-communicable diseases (NCD). In our experience, deployment of these HIEs have a strong focus on enabling primary care networks, where it makes economic sense to combine the SHR as a shared system-of-record of such a network.</w:t>
      </w:r>
    </w:p>
    <w:bookmarkStart w:id="42" w:name="fig-openhie"/>
    <w:tbl>
      <w:tblPr>
        <w:tblStyle w:val="Table"/>
        <w:tblW w:type="pct" w:w="4900"/>
        <w:tblLook w:firstRow="0" w:lastRow="0" w:firstColumn="0" w:lastColumn="0" w:noHBand="0" w:noVBand="0" w:val="0000"/>
        <w:jc w:val="start"/>
        <w:tblLayout w:type="fixed"/>
      </w:tblPr>
      <w:tblGrid>
        <w:gridCol w:w="7761"/>
      </w:tblGrid>
      <w:tr>
        <w:tc>
          <w:tcPr/>
          <w:p>
            <w:pPr>
              <w:pStyle w:val="CaptionedFigure"/>
              <w:jc w:val="left"/>
            </w:pPr>
            <w:r>
              <w:drawing>
                <wp:inline>
                  <wp:extent cx="5334000" cy="3798031"/>
                  <wp:effectExtent b="0" l="0" r="0" t="0"/>
                  <wp:docPr descr="a)" title="" id="37" name="Picture"/>
                  <a:graphic>
                    <a:graphicData uri="http://schemas.openxmlformats.org/drawingml/2006/picture">
                      <pic:pic>
                        <pic:nvPicPr>
                          <pic:cNvPr descr="openhie.png" id="38" name="Picture"/>
                          <pic:cNvPicPr>
                            <a:picLocks noChangeArrowheads="1" noChangeAspect="1"/>
                          </pic:cNvPicPr>
                        </pic:nvPicPr>
                        <pic:blipFill>
                          <a:blip r:embed="rId36"/>
                          <a:stretch>
                            <a:fillRect/>
                          </a:stretch>
                        </pic:blipFill>
                        <pic:spPr bwMode="auto">
                          <a:xfrm>
                            <a:off x="0" y="0"/>
                            <a:ext cx="5334000" cy="3798031"/>
                          </a:xfrm>
                          <a:prstGeom prst="rect">
                            <a:avLst/>
                          </a:prstGeom>
                          <a:noFill/>
                          <a:ln w="9525">
                            <a:noFill/>
                            <a:headEnd/>
                            <a:tailEnd/>
                          </a:ln>
                        </pic:spPr>
                      </pic:pic>
                    </a:graphicData>
                  </a:graphic>
                </wp:inline>
              </w:drawing>
            </w:r>
          </w:p>
          <w:p>
            <w:pPr>
              <w:pStyle w:val="ImageCaption"/>
              <w:jc w:val="left"/>
            </w:pPr>
            <w:r>
              <w:t xml:space="preserve">a)</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pStyle w:val="CaptionedFigure"/>
              <w:jc w:val="left"/>
            </w:pPr>
            <w:r>
              <w:drawing>
                <wp:inline>
                  <wp:extent cx="5334000" cy="3000375"/>
                  <wp:effectExtent b="0" l="0" r="0" t="0"/>
                  <wp:docPr descr="b)" title="" id="40" name="Picture"/>
                  <a:graphic>
                    <a:graphicData uri="http://schemas.openxmlformats.org/drawingml/2006/picture">
                      <pic:pic>
                        <pic:nvPicPr>
                          <pic:cNvPr descr="ohs-endtoend.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r>
              <w:t xml:space="preserve">b)</w:t>
            </w:r>
          </w:p>
        </w:tc>
      </w:tr>
    </w:tbl>
    <w:p>
      <w:pPr>
        <w:pStyle w:val="BodyText"/>
      </w:pPr>
      <w:pPr>
        <w:spacing w:before="200"/>
        <w:pStyle w:val="ImageCaption"/>
      </w:pPr>
      <w:r>
        <w:t xml:space="preserve">Figure 3: The OpenHIE reference architecture (a) and themain components in the Open Health Stack (b).</w:t>
      </w:r>
    </w:p>
    <w:bookmarkEnd w:id="42"/>
    <w:bookmarkEnd w:id="43"/>
    <w:bookmarkStart w:id="44" w:name="conclusion-and-outlook"/>
    <w:p>
      <w:pPr>
        <w:pStyle w:val="Heading2"/>
      </w:pPr>
      <w:r>
        <w:t xml:space="preserve">Conclusion and outlook</w:t>
      </w:r>
    </w:p>
    <w:p>
      <w:pPr>
        <w:numPr>
          <w:ilvl w:val="0"/>
          <w:numId w:val="1005"/>
        </w:numPr>
        <w:pStyle w:val="Compact"/>
      </w:pPr>
      <w:r>
        <w:t xml:space="preserve">We underline the need for open data standards as a necessary condition to achieve interoperability</w:t>
      </w:r>
    </w:p>
    <w:p>
      <w:pPr>
        <w:numPr>
          <w:ilvl w:val="0"/>
          <w:numId w:val="1005"/>
        </w:numPr>
        <w:pStyle w:val="Compact"/>
      </w:pPr>
      <w:r>
        <w:t xml:space="preserve">It is not a sufficient condition</w:t>
      </w:r>
    </w:p>
    <w:p>
      <w:pPr>
        <w:numPr>
          <w:ilvl w:val="0"/>
          <w:numId w:val="1005"/>
        </w:numPr>
        <w:pStyle w:val="Compact"/>
      </w:pPr>
      <w:r>
        <w:t xml:space="preserve">Suggestion: can we maken OMOP and OpenEHR benefit from the open technologies on FHIR? We think that through making open source reference implementations, such as OMOP-on-FHIR (what’s EHR equivalent of that?) we can</w:t>
      </w:r>
    </w:p>
    <w:p>
      <w:pPr>
        <w:numPr>
          <w:ilvl w:val="0"/>
          <w:numId w:val="1005"/>
        </w:numPr>
        <w:pStyle w:val="Compact"/>
      </w:pPr>
      <w:r>
        <w:t xml:space="preserve">MPC as next step up from FL</w:t>
      </w:r>
    </w:p>
    <w:p>
      <w:pPr>
        <w:numPr>
          <w:ilvl w:val="0"/>
          <w:numId w:val="1005"/>
        </w:numPr>
        <w:pStyle w:val="Compact"/>
      </w:pPr>
      <w:r>
        <w:t xml:space="preserve">More than a decade later, we observe that only a very small fraction of health IT systems are based on open source, the majority of which are used in LMICs which we will discuss later</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w:t>
      </w:r>
    </w:p>
    <w:bookmarkEnd w:id="44"/>
    <w:bookmarkStart w:id="111" w:name="bibliography"/>
    <w:p>
      <w:pPr>
        <w:pStyle w:val="Heading1"/>
      </w:pPr>
      <w:r>
        <w:t xml:space="preserve">References</w:t>
      </w:r>
    </w:p>
    <w:bookmarkStart w:id="110" w:name="refs"/>
    <w:bookmarkStart w:id="45"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45"/>
    <w:bookmarkStart w:id="47"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46">
        <w:r>
          <w:rPr>
            <w:rStyle w:val="Hyperlink"/>
          </w:rPr>
          <w:t xml:space="preserve">https://doi.org/10.1007/978-981-15-6315-7_7</w:t>
        </w:r>
      </w:hyperlink>
      <w:r>
        <w:t xml:space="preserve">.</w:t>
      </w:r>
    </w:p>
    <w:bookmarkEnd w:id="47"/>
    <w:bookmarkStart w:id="49"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48">
        <w:r>
          <w:rPr>
            <w:rStyle w:val="Hyperlink"/>
          </w:rPr>
          <w:t xml:space="preserve">https://doi.org/10.1016/j.jbi.2023.104338</w:t>
        </w:r>
      </w:hyperlink>
      <w:r>
        <w:t xml:space="preserve">.</w:t>
      </w:r>
    </w:p>
    <w:bookmarkEnd w:id="49"/>
    <w:bookmarkStart w:id="51"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50">
        <w:r>
          <w:rPr>
            <w:rStyle w:val="Hyperlink"/>
          </w:rPr>
          <w:t xml:space="preserve">https://doi.org/10.1055/s-0043-1768711</w:t>
        </w:r>
      </w:hyperlink>
      <w:r>
        <w:t xml:space="preserve">.</w:t>
      </w:r>
    </w:p>
    <w:bookmarkEnd w:id="51"/>
    <w:bookmarkStart w:id="53"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52">
        <w:r>
          <w:rPr>
            <w:rStyle w:val="Hyperlink"/>
          </w:rPr>
          <w:t xml:space="preserve">https://doi.org/10.1057/s41265-016-0033-3</w:t>
        </w:r>
      </w:hyperlink>
      <w:r>
        <w:t xml:space="preserve">.</w:t>
      </w:r>
    </w:p>
    <w:bookmarkEnd w:id="53"/>
    <w:bookmarkStart w:id="54"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54"/>
    <w:bookmarkStart w:id="55"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55"/>
    <w:bookmarkStart w:id="57" w:name="ref-gebreslassie2023fhir4fair"/>
    <w:p>
      <w:pPr>
        <w:pStyle w:val="Bibliography"/>
      </w:pPr>
      <w:r>
        <w:t xml:space="preserve">Gebreslassie, Tesfit Gebremeskel, Mirjam van Reisen, Samson Yohannes Amare, Getu Tadele Taye, and Ruduan Plug. 2023.</w:t>
      </w:r>
      <w:r>
        <w:t xml:space="preserve"> </w:t>
      </w:r>
      <w:r>
        <w:t xml:space="preserve">“</w:t>
      </w:r>
      <w:r>
        <w:t xml:space="preserve">FHIR4FAIR</w:t>
      </w:r>
      <w:r>
        <w:t xml:space="preserve">:</w:t>
      </w:r>
      <w:r>
        <w:t xml:space="preserve"> </w:t>
      </w:r>
      <w:r>
        <w:t xml:space="preserve">Leveraging FHIR</w:t>
      </w:r>
      <w:r>
        <w:t xml:space="preserve"> </w:t>
      </w:r>
      <w:r>
        <w:t xml:space="preserve">in Health Data</w:t>
      </w:r>
      <w:r>
        <w:t xml:space="preserve"> </w:t>
      </w:r>
      <w:r>
        <w:t xml:space="preserve">FAIRfication</w:t>
      </w:r>
      <w:r>
        <w:t xml:space="preserve"> </w:t>
      </w:r>
      <w:r>
        <w:t xml:space="preserve">Process:</w:t>
      </w:r>
      <w:r>
        <w:t xml:space="preserve"> </w:t>
      </w:r>
      <w:r>
        <w:t xml:space="preserve">In</w:t>
      </w:r>
      <w:r>
        <w:t xml:space="preserve"> </w:t>
      </w:r>
      <w:r>
        <w:t xml:space="preserve">the Case of</w:t>
      </w:r>
      <w:r>
        <w:t xml:space="preserve"> </w:t>
      </w:r>
      <w:r>
        <w:t xml:space="preserve">VODAN-A</w:t>
      </w:r>
      <w:r>
        <w:t xml:space="preserve">.”</w:t>
      </w:r>
      <w:r>
        <w:t xml:space="preserve"> </w:t>
      </w:r>
      <w:r>
        <w:rPr>
          <w:iCs/>
          <w:i/>
        </w:rPr>
        <w:t xml:space="preserve">FAIR Connect</w:t>
      </w:r>
      <w:r>
        <w:t xml:space="preserve"> </w:t>
      </w:r>
      <w:r>
        <w:t xml:space="preserve">1 (1): 49–54.</w:t>
      </w:r>
      <w:r>
        <w:t xml:space="preserve"> </w:t>
      </w:r>
      <w:hyperlink r:id="rId56">
        <w:r>
          <w:rPr>
            <w:rStyle w:val="Hyperlink"/>
          </w:rPr>
          <w:t xml:space="preserve">https://doi.org/10.3233/FC-230504</w:t>
        </w:r>
      </w:hyperlink>
      <w:r>
        <w:t xml:space="preserve">.</w:t>
      </w:r>
    </w:p>
    <w:bookmarkEnd w:id="57"/>
    <w:bookmarkStart w:id="59"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58">
        <w:r>
          <w:rPr>
            <w:rStyle w:val="Hyperlink"/>
          </w:rPr>
          <w:t xml:space="preserve">https://doi.org/10.1371/journal.pone.0223010</w:t>
        </w:r>
      </w:hyperlink>
      <w:r>
        <w:t xml:space="preserve">.</w:t>
      </w:r>
    </w:p>
    <w:bookmarkEnd w:id="59"/>
    <w:bookmarkStart w:id="61"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60">
        <w:r>
          <w:rPr>
            <w:rStyle w:val="Hyperlink"/>
          </w:rPr>
          <w:t xml:space="preserve">https://doi.org/10.1109/TKDE.2023.3270101</w:t>
        </w:r>
      </w:hyperlink>
      <w:r>
        <w:t xml:space="preserve">.</w:t>
      </w:r>
    </w:p>
    <w:bookmarkEnd w:id="61"/>
    <w:bookmarkStart w:id="63"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62">
        <w:r>
          <w:rPr>
            <w:rStyle w:val="Hyperlink"/>
          </w:rPr>
          <w:t xml:space="preserve">https://doi.org/10.1109/BigData55660.2022.10020719</w:t>
        </w:r>
      </w:hyperlink>
      <w:r>
        <w:t xml:space="preserve">.</w:t>
      </w:r>
    </w:p>
    <w:bookmarkEnd w:id="63"/>
    <w:bookmarkStart w:id="65"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64">
        <w:r>
          <w:rPr>
            <w:rStyle w:val="Hyperlink"/>
          </w:rPr>
          <w:t xml:space="preserve">https://doi.org/10.2139/ssrn.4765588</w:t>
        </w:r>
      </w:hyperlink>
      <w:r>
        <w:t xml:space="preserve">.</w:t>
      </w:r>
    </w:p>
    <w:bookmarkEnd w:id="65"/>
    <w:bookmarkStart w:id="66" w:name="ref-hcx"/>
    <w:p>
      <w:pPr>
        <w:pStyle w:val="Bibliography"/>
      </w:pPr>
      <w:r>
        <w:t xml:space="preserve">“</w:t>
      </w:r>
      <w:r>
        <w:t xml:space="preserve">HCX Protocol</w:t>
      </w:r>
      <w:r>
        <w:t xml:space="preserve"> </w:t>
      </w:r>
      <w:r>
        <w:t xml:space="preserve">V0.9.”</w:t>
      </w:r>
      <w:r>
        <w:t xml:space="preserve"> </w:t>
      </w:r>
      <w:r>
        <w:t xml:space="preserve">2023.</w:t>
      </w:r>
    </w:p>
    <w:bookmarkEnd w:id="66"/>
    <w:bookmarkStart w:id="67"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67"/>
    <w:bookmarkStart w:id="69"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68">
        <w:r>
          <w:rPr>
            <w:rStyle w:val="Hyperlink"/>
          </w:rPr>
          <w:t xml:space="preserve">https://doi.org/10.1093/jamia/ocab028</w:t>
        </w:r>
      </w:hyperlink>
      <w:r>
        <w:t xml:space="preserve">.</w:t>
      </w:r>
    </w:p>
    <w:bookmarkEnd w:id="69"/>
    <w:bookmarkStart w:id="70"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70"/>
    <w:bookmarkStart w:id="72"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71">
        <w:r>
          <w:rPr>
            <w:rStyle w:val="Hyperlink"/>
          </w:rPr>
          <w:t xml:space="preserve">https://doi.org/10.1016/j.cmpb.2021.106394</w:t>
        </w:r>
      </w:hyperlink>
      <w:r>
        <w:t xml:space="preserve">.</w:t>
      </w:r>
    </w:p>
    <w:bookmarkEnd w:id="72"/>
    <w:bookmarkStart w:id="74"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73">
        <w:r>
          <w:rPr>
            <w:rStyle w:val="Hyperlink"/>
          </w:rPr>
          <w:t xml:space="preserve">https://doi.org/10.1183/23120541.00168-2022</w:t>
        </w:r>
      </w:hyperlink>
      <w:r>
        <w:t xml:space="preserve">.</w:t>
      </w:r>
    </w:p>
    <w:bookmarkEnd w:id="74"/>
    <w:bookmarkStart w:id="75"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75"/>
    <w:bookmarkStart w:id="77"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76">
        <w:r>
          <w:rPr>
            <w:rStyle w:val="Hyperlink"/>
          </w:rPr>
          <w:t xml:space="preserve">https://doi.org/10.1371/journal.pdig.0000118</w:t>
        </w:r>
      </w:hyperlink>
      <w:r>
        <w:t xml:space="preserve">.</w:t>
      </w:r>
    </w:p>
    <w:bookmarkEnd w:id="77"/>
    <w:bookmarkStart w:id="79"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78">
        <w:r>
          <w:rPr>
            <w:rStyle w:val="Hyperlink"/>
          </w:rPr>
          <w:t xml:space="preserve">https://doi.org/10.1038/s41746-020-00358-4</w:t>
        </w:r>
      </w:hyperlink>
      <w:r>
        <w:t xml:space="preserve">.</w:t>
      </w:r>
    </w:p>
    <w:bookmarkEnd w:id="79"/>
    <w:bookmarkStart w:id="81"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80">
        <w:r>
          <w:rPr>
            <w:rStyle w:val="Hyperlink"/>
          </w:rPr>
          <w:t xml:space="preserve">https://doi.org/10.1016/j.jbi.2024.104661</w:t>
        </w:r>
      </w:hyperlink>
      <w:r>
        <w:t xml:space="preserve">.</w:t>
      </w:r>
    </w:p>
    <w:bookmarkEnd w:id="81"/>
    <w:bookmarkStart w:id="83"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82">
        <w:r>
          <w:rPr>
            <w:rStyle w:val="Hyperlink"/>
          </w:rPr>
          <w:t xml:space="preserve">https://doi.org/10.1093/oodh/oqad018</w:t>
        </w:r>
      </w:hyperlink>
      <w:r>
        <w:t xml:space="preserve">.</w:t>
      </w:r>
    </w:p>
    <w:bookmarkEnd w:id="83"/>
    <w:bookmarkStart w:id="85"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84">
        <w:r>
          <w:rPr>
            <w:rStyle w:val="Hyperlink"/>
          </w:rPr>
          <w:t xml:space="preserve">https://doi.org/10.1093/jamia/ocad235</w:t>
        </w:r>
      </w:hyperlink>
      <w:r>
        <w:t xml:space="preserve">.</w:t>
      </w:r>
    </w:p>
    <w:bookmarkEnd w:id="85"/>
    <w:bookmarkStart w:id="86"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86"/>
    <w:bookmarkStart w:id="88"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87">
        <w:r>
          <w:rPr>
            <w:rStyle w:val="Hyperlink"/>
          </w:rPr>
          <w:t xml:space="preserve">https://doi.org/10.1186/s12911-021-01499-6</w:t>
        </w:r>
      </w:hyperlink>
      <w:r>
        <w:t xml:space="preserve">.</w:t>
      </w:r>
    </w:p>
    <w:bookmarkEnd w:id="88"/>
    <w:bookmarkStart w:id="89" w:name="ref-ohie2023unconference"/>
    <w:p>
      <w:pPr>
        <w:pStyle w:val="Bibliography"/>
      </w:pPr>
      <w:r>
        <w:t xml:space="preserve">“</w:t>
      </w:r>
      <w:r>
        <w:t xml:space="preserve">OHIE23 Unconference</w:t>
      </w:r>
      <w:r>
        <w:t xml:space="preserve"> </w:t>
      </w:r>
      <w:r>
        <w:t xml:space="preserve">101.”</w:t>
      </w:r>
      <w:r>
        <w:t xml:space="preserve"> </w:t>
      </w:r>
      <w:r>
        <w:t xml:space="preserve">2023.</w:t>
      </w:r>
    </w:p>
    <w:bookmarkEnd w:id="89"/>
    <w:bookmarkStart w:id="90" w:name="ref-openhie"/>
    <w:p>
      <w:pPr>
        <w:pStyle w:val="Bibliography"/>
      </w:pPr>
      <w:r>
        <w:t xml:space="preserve">“</w:t>
      </w:r>
      <w:r>
        <w:t xml:space="preserve">OpenHIE Framework</w:t>
      </w:r>
      <w:r>
        <w:t xml:space="preserve"> </w:t>
      </w:r>
      <w:r>
        <w:t xml:space="preserve">V5.0.”</w:t>
      </w:r>
      <w:r>
        <w:t xml:space="preserve"> </w:t>
      </w:r>
      <w:r>
        <w:t xml:space="preserve">2022.</w:t>
      </w:r>
      <w:r>
        <w:t xml:space="preserve"> </w:t>
      </w:r>
      <w:r>
        <w:rPr>
          <w:iCs/>
          <w:i/>
        </w:rPr>
        <w:t xml:space="preserve">OpenHIE</w:t>
      </w:r>
      <w:r>
        <w:t xml:space="preserve">. https://ohie.org/.</w:t>
      </w:r>
    </w:p>
    <w:bookmarkEnd w:id="90"/>
    <w:bookmarkStart w:id="92"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91">
        <w:r>
          <w:rPr>
            <w:rStyle w:val="Hyperlink"/>
          </w:rPr>
          <w:t xml:space="preserve">https://doi.org/10.14778/3603581.3603604</w:t>
        </w:r>
      </w:hyperlink>
      <w:r>
        <w:t xml:space="preserve">.</w:t>
      </w:r>
    </w:p>
    <w:bookmarkEnd w:id="92"/>
    <w:bookmarkStart w:id="94"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93">
        <w:r>
          <w:rPr>
            <w:rStyle w:val="Hyperlink"/>
          </w:rPr>
          <w:t xml:space="preserve">https://doi.org/10.1016/j.ijmedinf.2022.104925</w:t>
        </w:r>
      </w:hyperlink>
      <w:r>
        <w:t xml:space="preserve">.</w:t>
      </w:r>
    </w:p>
    <w:bookmarkEnd w:id="94"/>
    <w:bookmarkStart w:id="96"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95">
        <w:r>
          <w:rPr>
            <w:rStyle w:val="Hyperlink"/>
          </w:rPr>
          <w:t xml:space="preserve">https://doi.org/10.2196/jmir.1521</w:t>
        </w:r>
      </w:hyperlink>
      <w:r>
        <w:t xml:space="preserve">.</w:t>
      </w:r>
    </w:p>
    <w:bookmarkEnd w:id="96"/>
    <w:bookmarkStart w:id="98"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97">
        <w:r>
          <w:rPr>
            <w:rStyle w:val="Hyperlink"/>
          </w:rPr>
          <w:t xml:space="preserve">https://doi.org/10.1038/s41746-020-00323-1</w:t>
        </w:r>
      </w:hyperlink>
      <w:r>
        <w:t xml:space="preserve">.</w:t>
      </w:r>
    </w:p>
    <w:bookmarkEnd w:id="98"/>
    <w:bookmarkStart w:id="100"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99">
        <w:r>
          <w:rPr>
            <w:rStyle w:val="Hyperlink"/>
          </w:rPr>
          <w:t xml:space="preserve">https://doi.org/10.1016/j.csbj.2024.02.014</w:t>
        </w:r>
      </w:hyperlink>
      <w:r>
        <w:t xml:space="preserve">.</w:t>
      </w:r>
    </w:p>
    <w:bookmarkEnd w:id="100"/>
    <w:bookmarkStart w:id="102"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01">
        <w:r>
          <w:rPr>
            <w:rStyle w:val="Hyperlink"/>
          </w:rPr>
          <w:t xml:space="preserve">https://doi.org/10.3233/SHTI220682</w:t>
        </w:r>
      </w:hyperlink>
      <w:r>
        <w:t xml:space="preserve">.</w:t>
      </w:r>
    </w:p>
    <w:bookmarkEnd w:id="102"/>
    <w:bookmarkStart w:id="104"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03">
        <w:r>
          <w:rPr>
            <w:rStyle w:val="Hyperlink"/>
          </w:rPr>
          <w:t xml:space="preserve">https://doi.org/10.2196/medinform.8131</w:t>
        </w:r>
      </w:hyperlink>
      <w:r>
        <w:t xml:space="preserve">.</w:t>
      </w:r>
    </w:p>
    <w:bookmarkEnd w:id="104"/>
    <w:bookmarkStart w:id="106"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05">
        <w:r>
          <w:rPr>
            <w:rStyle w:val="Hyperlink"/>
          </w:rPr>
          <w:t xml:space="preserve">https://doi.org/10.1016/j.xcrm.2024.101419</w:t>
        </w:r>
      </w:hyperlink>
      <w:r>
        <w:t xml:space="preserve">.</w:t>
      </w:r>
    </w:p>
    <w:bookmarkEnd w:id="106"/>
    <w:bookmarkStart w:id="107"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t xml:space="preserve">March.</w:t>
      </w:r>
    </w:p>
    <w:bookmarkEnd w:id="107"/>
    <w:bookmarkStart w:id="108"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08"/>
    <w:bookmarkStart w:id="109"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 </w:t>
      </w:r>
      <w:r>
        <w:t xml:space="preserve">for details.</w:t>
      </w:r>
    </w:p>
  </w:footnote>
  <w:footnote w:id="23">
    <w:p>
      <w:pPr>
        <w:pStyle w:val="FootnoteText"/>
      </w:pPr>
      <w:r>
        <w:rPr>
          <w:rStyle w:val="FootnoteReference"/>
        </w:rPr>
        <w:footnoteRef/>
      </w:r>
      <w:r>
        <w:t xml:space="preserve"> </w:t>
      </w:r>
      <w:r>
        <w:t xml:space="preserve">https://build.fhir.org/ig/FHIR/sql-on-fhir-v2/</w:t>
      </w:r>
    </w:p>
  </w:footnote>
  <w:footnote w:id="24">
    <w:p>
      <w:pPr>
        <w:pStyle w:val="FootnoteText"/>
      </w:pPr>
      <w:r>
        <w:rPr>
          <w:rStyle w:val="FootnoteReference"/>
        </w:rPr>
        <w:footnoteRef/>
      </w:r>
      <w:r>
        <w:t xml:space="preserve"> </w:t>
      </w:r>
      <w:r>
        <w:t xml:space="preserve">FHIR: https://confluence.hl7.org/display/FHIR/Open+Source+Implementations . OMOP: https://www.ohdsi.org/software-tools/. OpenEHR: https://openehr.org/products_tools/platform/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46" Target="https://doi.org/10.1007/978-981-15-6315-7_7" TargetMode="External" /><Relationship Type="http://schemas.openxmlformats.org/officeDocument/2006/relationships/hyperlink" Id="rId71" Target="https://doi.org/10.1016/j.cmpb.2021.106394" TargetMode="External" /><Relationship Type="http://schemas.openxmlformats.org/officeDocument/2006/relationships/hyperlink" Id="rId99" Target="https://doi.org/10.1016/j.csbj.2024.02.014" TargetMode="External" /><Relationship Type="http://schemas.openxmlformats.org/officeDocument/2006/relationships/hyperlink" Id="rId93" Target="https://doi.org/10.1016/j.ijmedinf.2022.104925" TargetMode="External" /><Relationship Type="http://schemas.openxmlformats.org/officeDocument/2006/relationships/hyperlink" Id="rId48" Target="https://doi.org/10.1016/j.jbi.2023.104338" TargetMode="External" /><Relationship Type="http://schemas.openxmlformats.org/officeDocument/2006/relationships/hyperlink" Id="rId80" Target="https://doi.org/10.1016/j.jbi.2024.104661" TargetMode="External" /><Relationship Type="http://schemas.openxmlformats.org/officeDocument/2006/relationships/hyperlink" Id="rId105"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78" Target="https://doi.org/10.1038/s41746-020-00358-4" TargetMode="External" /><Relationship Type="http://schemas.openxmlformats.org/officeDocument/2006/relationships/hyperlink" Id="rId50"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84" Target="https://doi.org/10.1093/jamia/ocad235" TargetMode="External" /><Relationship Type="http://schemas.openxmlformats.org/officeDocument/2006/relationships/hyperlink" Id="rId82" Target="https://doi.org/10.1093/oodh/oqad018" TargetMode="External" /><Relationship Type="http://schemas.openxmlformats.org/officeDocument/2006/relationships/hyperlink" Id="rId62" Target="https://doi.org/10.1109/BigData55660.2022.10020719" TargetMode="External" /><Relationship Type="http://schemas.openxmlformats.org/officeDocument/2006/relationships/hyperlink" Id="rId60" Target="https://doi.org/10.1109/TKDE.2023.3270101" TargetMode="External" /><Relationship Type="http://schemas.openxmlformats.org/officeDocument/2006/relationships/hyperlink" Id="rId73" Target="https://doi.org/10.1183/23120541.00168-2022" TargetMode="External" /><Relationship Type="http://schemas.openxmlformats.org/officeDocument/2006/relationships/hyperlink" Id="rId87" Target="https://doi.org/10.1186/s12911-021-01499-6" TargetMode="External" /><Relationship Type="http://schemas.openxmlformats.org/officeDocument/2006/relationships/hyperlink" Id="rId76" Target="https://doi.org/10.1371/journal.pdig.0000118" TargetMode="External" /><Relationship Type="http://schemas.openxmlformats.org/officeDocument/2006/relationships/hyperlink" Id="rId58" Target="https://doi.org/10.1371/journal.pone.0223010" TargetMode="External" /><Relationship Type="http://schemas.openxmlformats.org/officeDocument/2006/relationships/hyperlink" Id="rId91" Target="https://doi.org/10.14778/3603581.3603604" TargetMode="External" /><Relationship Type="http://schemas.openxmlformats.org/officeDocument/2006/relationships/hyperlink" Id="rId64" Target="https://doi.org/10.2139/ssrn.4765588" TargetMode="External" /><Relationship Type="http://schemas.openxmlformats.org/officeDocument/2006/relationships/hyperlink" Id="rId95" Target="https://doi.org/10.2196/jmir.1521" TargetMode="External" /><Relationship Type="http://schemas.openxmlformats.org/officeDocument/2006/relationships/hyperlink" Id="rId103" Target="https://doi.org/10.2196/medinform.8131" TargetMode="External" /><Relationship Type="http://schemas.openxmlformats.org/officeDocument/2006/relationships/hyperlink" Id="rId56" Target="https://doi.org/10.3233/FC-230504" TargetMode="External" /><Relationship Type="http://schemas.openxmlformats.org/officeDocument/2006/relationships/hyperlink" Id="rId101"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26" Target="https://plugin.healthcare" TargetMode="External" /></Relationships>
</file>

<file path=word/_rels/footnotes.xml.rels><?xml version="1.0" encoding="UTF-8"?><Relationships xmlns="http://schemas.openxmlformats.org/package/2006/relationships"><Relationship Type="http://schemas.openxmlformats.org/officeDocument/2006/relationships/hyperlink" Id="rId46" Target="https://doi.org/10.1007/978-981-15-6315-7_7" TargetMode="External" /><Relationship Type="http://schemas.openxmlformats.org/officeDocument/2006/relationships/hyperlink" Id="rId71" Target="https://doi.org/10.1016/j.cmpb.2021.106394" TargetMode="External" /><Relationship Type="http://schemas.openxmlformats.org/officeDocument/2006/relationships/hyperlink" Id="rId99" Target="https://doi.org/10.1016/j.csbj.2024.02.014" TargetMode="External" /><Relationship Type="http://schemas.openxmlformats.org/officeDocument/2006/relationships/hyperlink" Id="rId93" Target="https://doi.org/10.1016/j.ijmedinf.2022.104925" TargetMode="External" /><Relationship Type="http://schemas.openxmlformats.org/officeDocument/2006/relationships/hyperlink" Id="rId48" Target="https://doi.org/10.1016/j.jbi.2023.104338" TargetMode="External" /><Relationship Type="http://schemas.openxmlformats.org/officeDocument/2006/relationships/hyperlink" Id="rId80" Target="https://doi.org/10.1016/j.jbi.2024.104661" TargetMode="External" /><Relationship Type="http://schemas.openxmlformats.org/officeDocument/2006/relationships/hyperlink" Id="rId105"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78" Target="https://doi.org/10.1038/s41746-020-00358-4" TargetMode="External" /><Relationship Type="http://schemas.openxmlformats.org/officeDocument/2006/relationships/hyperlink" Id="rId50"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84" Target="https://doi.org/10.1093/jamia/ocad235" TargetMode="External" /><Relationship Type="http://schemas.openxmlformats.org/officeDocument/2006/relationships/hyperlink" Id="rId82" Target="https://doi.org/10.1093/oodh/oqad018" TargetMode="External" /><Relationship Type="http://schemas.openxmlformats.org/officeDocument/2006/relationships/hyperlink" Id="rId62" Target="https://doi.org/10.1109/BigData55660.2022.10020719" TargetMode="External" /><Relationship Type="http://schemas.openxmlformats.org/officeDocument/2006/relationships/hyperlink" Id="rId60" Target="https://doi.org/10.1109/TKDE.2023.3270101" TargetMode="External" /><Relationship Type="http://schemas.openxmlformats.org/officeDocument/2006/relationships/hyperlink" Id="rId73" Target="https://doi.org/10.1183/23120541.00168-2022" TargetMode="External" /><Relationship Type="http://schemas.openxmlformats.org/officeDocument/2006/relationships/hyperlink" Id="rId87" Target="https://doi.org/10.1186/s12911-021-01499-6" TargetMode="External" /><Relationship Type="http://schemas.openxmlformats.org/officeDocument/2006/relationships/hyperlink" Id="rId76" Target="https://doi.org/10.1371/journal.pdig.0000118" TargetMode="External" /><Relationship Type="http://schemas.openxmlformats.org/officeDocument/2006/relationships/hyperlink" Id="rId58" Target="https://doi.org/10.1371/journal.pone.0223010" TargetMode="External" /><Relationship Type="http://schemas.openxmlformats.org/officeDocument/2006/relationships/hyperlink" Id="rId91" Target="https://doi.org/10.14778/3603581.3603604" TargetMode="External" /><Relationship Type="http://schemas.openxmlformats.org/officeDocument/2006/relationships/hyperlink" Id="rId64" Target="https://doi.org/10.2139/ssrn.4765588" TargetMode="External" /><Relationship Type="http://schemas.openxmlformats.org/officeDocument/2006/relationships/hyperlink" Id="rId95" Target="https://doi.org/10.2196/jmir.1521" TargetMode="External" /><Relationship Type="http://schemas.openxmlformats.org/officeDocument/2006/relationships/hyperlink" Id="rId103" Target="https://doi.org/10.2196/medinform.8131" TargetMode="External" /><Relationship Type="http://schemas.openxmlformats.org/officeDocument/2006/relationships/hyperlink" Id="rId56" Target="https://doi.org/10.3233/FC-230504" TargetMode="External" /><Relationship Type="http://schemas.openxmlformats.org/officeDocument/2006/relationships/hyperlink" Id="rId101"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26" Target="https://plugin.healthc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inteoperability in context: the importance of open source implementations when choosing open standards</dc:title>
  <dc:creator>Daniel Kapitan; Femke Heddema; Andre Dekker; Melle Sieswerda; Bart-Jan Verhoeff</dc:creator>
  <cp:keywords>OMOP, OpenEHR, FHIR, secondary use, data platform, digital platform</cp:keywords>
  <dcterms:created xsi:type="dcterms:W3CDTF">2024-07-18T14:47:28Z</dcterms:created>
  <dcterms:modified xsi:type="dcterms:W3CDTF">2024-07-18T14:47:28Z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