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0.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w:t>
      </w:r>
      <w:r>
        <w:t xml:space="preserve"> </w:t>
      </w:r>
      <w:r>
        <w:t xml:space="preserve">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exists with significant overlap among them,</w:t>
      </w:r>
      <w:r>
        <w:t xml:space="preserve">”</w:t>
      </w:r>
      <w:r>
        <w:t xml:space="preserve"> </w:t>
      </w:r>
      <w:r>
        <w:t xml:space="preserve">say Tsafnat et al., followed by a call to actions towards the health informatics community to put effort into establishing convergence and preventing collision</w:t>
      </w:r>
      <w:r>
        <w:t xml:space="preserve"> </w:t>
      </w:r>
      <w:r>
        <w:t xml:space="preserve">(Tsafnat et al. 2024)</w:t>
      </w:r>
      <w:r>
        <w:t xml:space="preserve">. To do so, they propose to converge on three open standards, namely i) OpenEHR for clinical care and administration; ii) Fast Health Interoperability Resources (FHIR) for data exhange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(de Reuver, Sørensen, and Basole 2018)</w:t>
      </w:r>
      <w:r>
        <w:t xml:space="preserve"> </w:t>
      </w:r>
      <w:r>
        <w:t xml:space="preserve">and the paradox of open</w:t>
      </w:r>
      <w:r>
        <w:t xml:space="preserve"> </w:t>
      </w:r>
      <w:r>
        <w:t xml:space="preserve">(Keller and Tarkowski 2021)</w:t>
      </w:r>
      <w:r>
        <w:t xml:space="preserve">. Subsequently, we present our findings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5"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Besides the paradox of interoperability put forward by Tsafnat et al., we argue that open standards are a necessary, but not sufficient condition for convergence of health data standarization. We posit that open source implementations of components, libraries etc. constitute another necessary condition for establishing a flourishing health data sharing platform and associated ecosystem for any given context, be it regional, international or within a specific sub-domain like pandemic preparedness. Research on digital platforms underline the importance of the platform openness, not only in term of open standards, but also in term of extensibility of the code base, availibility of complements to the core technical platform (in our case the data standard itself) and availibility of executable pieces of software</w:t>
      </w:r>
      <w:r>
        <w:t xml:space="preserve"> </w:t>
      </w:r>
      <w:r>
        <w:t xml:space="preserve">(de Reuver, Sørensen, and Basole 2018)</w:t>
      </w:r>
      <w:r>
        <w:t xml:space="preserve">. Only when the majority of these aspects of digital platforms are fullfilled can we resonably expect that the platform will indeed be longlived.</w:t>
      </w:r>
    </w:p>
    <w:p>
      <w:pPr>
        <w:pStyle w:val="BodyText"/>
      </w:pPr>
      <w:r>
        <w:t xml:space="preserve">In what they call the paradox of open, Keller and Tarkowsi argue that this conventional approach of open standards and open source flourish under two types of conditions</w:t>
      </w:r>
      <w:r>
        <w:t xml:space="preserve"> </w:t>
      </w:r>
      <w:r>
        <w:t xml:space="preserve">(Keller and Tarkowski 2021)</w:t>
      </w:r>
      <w:r>
        <w:t xml:space="preserve">. First, projects where many people contribute to the creation of a common resource have proven succesful.</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(Keller and Tarkowski 2021)</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 source implementations is somewhat overlooked. This point is only mentioned in passing and indirectly, when Tsafnat et al. reference work done by Reynolds and Wyatt who already argued in 2011</w:t>
      </w:r>
      <w:r>
        <w:t xml:space="preserve"> </w:t>
      </w:r>
      <w:r>
        <w:t xml:space="preserve">“</w:t>
      </w:r>
      <w:r>
        <w:t xml:space="preserve">… for the superiority of open source licensing to promote safer, more effective health care information systems. We claim that open source licensing in health care information systems is essential to rational procurement strategy</w:t>
      </w:r>
      <w:r>
        <w:t xml:space="preserve">”</w:t>
      </w:r>
      <w:r>
        <w:t xml:space="preserve"> </w:t>
      </w:r>
      <w:r>
        <w:t xml:space="preserve">(Reynolds and Wyatt 2011)</w:t>
      </w:r>
      <w:r>
        <w:t xml:space="preserve">. We believe that a realistic assessment of the current position of an open standard within the wider context of availability of complementary components and open source implementations is equally important when choosing which standard to adopt.</w:t>
      </w:r>
    </w:p>
    <w:p>
      <w:pPr>
        <w:pStyle w:val="BodyText"/>
      </w:pPr>
      <w:r>
        <w:t xml:space="preserve">This point is related to the second condition put forward by Keller and Tarkoswki, namely that the conventional open approach has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w:t>
      </w:r>
      <w:r>
        <w:t xml:space="preserve"> </w:t>
      </w:r>
      <w:r>
        <w:t xml:space="preserve">“</w:t>
      </w:r>
      <w:r>
        <w:t xml:space="preserve">This is the story of publicly-funded knowledge production like Open Access academic publications, cultural heritage collections in the Public Domain, Open Educational Resources (OER), and Open Government data.</w:t>
      </w:r>
      <w:r>
        <w:t xml:space="preserve">”</w:t>
      </w:r>
      <w:r>
        <w:t xml:space="preserve"> </w:t>
      </w:r>
      <w:r>
        <w:t xml:space="preserve">(Keller and Tarkowski 2021)</w:t>
      </w:r>
      <w:r>
        <w:t xml:space="preserve"> </w:t>
      </w:r>
      <w:r>
        <w:t xml:space="preserve">A canonical example is the birth of the GSM standard, which was mandated by European legislation.</w:t>
      </w:r>
      <w:r>
        <w:rPr>
          <w:rStyle w:val="FootnoteReference"/>
        </w:rPr>
        <w:footnoteReference w:id="21"/>
      </w:r>
      <w:r>
        <w:t xml:space="preserve"> </w:t>
      </w:r>
      <w:r>
        <w:t xml:space="preserve">Reflecting on this perspective on openness,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has introduced a steady stream of new regulations, criteria, and deadlines in Health IT that has resulted in significant adoption of FHIR</w:t>
      </w:r>
      <w:r>
        <w:t xml:space="preserve"> </w:t>
      </w:r>
      <w:r>
        <w:t xml:space="preserve">(Firely 2023)</w:t>
      </w:r>
      <w:r>
        <w:t xml:space="preserve">. In India, the open Health Claims Exchange protocol specification - which is based on FHIR - has been mandated by the Indian government as the standard for e-claims handling</w:t>
      </w:r>
      <w:r>
        <w:t xml:space="preserve"> </w:t>
      </w:r>
      <w:r>
        <w:t xml:space="preserve">(</w:t>
      </w:r>
      <w:r>
        <w:t xml:space="preserve">“National</w:t>
      </w:r>
      <w:r>
        <w:t xml:space="preserve"> </w:t>
      </w:r>
      <w:r>
        <w:t xml:space="preserve">Digital Health Mission</w:t>
      </w:r>
      <w:r>
        <w:t xml:space="preserve">”</w:t>
      </w:r>
      <w:r>
        <w:t xml:space="preserve"> </w:t>
      </w:r>
      <w:r>
        <w:t xml:space="preserve">2020;</w:t>
      </w:r>
      <w:r>
        <w:t xml:space="preserve"> </w:t>
      </w:r>
      <w:r>
        <w:t xml:space="preserve">“</w:t>
      </w:r>
      <w:r>
        <w:t xml:space="preserve">HCX Protocol</w:t>
      </w:r>
      <w:r>
        <w:t xml:space="preserve"> </w:t>
      </w:r>
      <w:r>
        <w:t xml:space="preserve">V0.9”</w:t>
      </w:r>
      <w:r>
        <w:t xml:space="preserve"> </w:t>
      </w:r>
      <w:r>
        <w:t xml:space="preserve">2023)</w:t>
      </w:r>
      <w:r>
        <w:t xml:space="preserve">. The African Union recommends all new implementations and digital health system improvements use FHIR as the primary mechanism for data exchange</w:t>
      </w:r>
      <w:r>
        <w:t xml:space="preserve"> </w:t>
      </w:r>
      <w:r>
        <w:t xml:space="preserve">(Tilahun et al. 2023)</w:t>
      </w:r>
      <w:r>
        <w:t xml:space="preserve">, but doesn’t say anything about the use of, for example, OpenEHR for administrative point-of-service systems.</w:t>
      </w:r>
    </w:p>
    <w:p>
      <w:pPr>
        <w:pStyle w:val="BodyText"/>
      </w:pPr>
      <w:r>
        <w:t xml:space="preserve">These external incentives have resulted in a large boost in both commercial and open source development activities in the FHIR ecosystem. Illustrative of this is the speed with which the Bulk FHIR API has been defined and implemented in almost all major implementations</w:t>
      </w:r>
      <w:r>
        <w:t xml:space="preserve"> </w:t>
      </w:r>
      <w:r>
        <w:t xml:space="preserve">(Mandl et al. 2020; Jones et al. 2021)</w:t>
      </w:r>
      <w:r>
        <w:t xml:space="preserve">, and the the SQL-on-FHIR specification to make large-scale analysis of FHIR data accessible to a larger audience and portable between systems.</w:t>
      </w:r>
      <w:r>
        <w:rPr>
          <w:rStyle w:val="FootnoteReference"/>
        </w:rPr>
        <w:footnoteReference w:id="23"/>
      </w:r>
      <w:r>
        <w:t xml:space="preserve"> </w:t>
      </w:r>
      <w:r>
        <w:t xml:space="preserve">It has also led to more people voluntarily contributing to FHIR-related open 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 source components listed on the website of the three governing bodies HL7, OHDSI and OpenEHR, indicates that the ecosystem of FHIR and OMOP have a significantly larger offering of extensible and complementary open source components than OpenEHR.</w:t>
      </w:r>
      <w:r>
        <w:rPr>
          <w:rStyle w:val="FootnoteReference"/>
        </w:rPr>
        <w:footnoteReference w:id="24"/>
      </w:r>
    </w:p>
    <w:p>
      <w:pPr>
        <w:pStyle w:val="BodyText"/>
      </w:pPr>
      <w:r>
        <w:t xml:space="preserve">Hence, we stress that beyond the evaluating the instrinic structure of an open standard and the community that supports the standard, we need to take into account the wider ecosystem of open source implementations, complementary components etc.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c.q. contexts where these considerations are at play.</w:t>
      </w:r>
    </w:p>
    <w:bookmarkEnd w:id="25"/>
    <w:bookmarkStart w:id="35" w:name="X060f4b9a1663e1d144d0b39caabbb15e1ec9b38"/>
    <w:p>
      <w:pPr>
        <w:pStyle w:val="Heading2"/>
      </w:pPr>
      <w:r>
        <w:t xml:space="preserve">Standarization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(Rieke et al. 2020; Teo et al. 2024)</w:t>
      </w:r>
      <w:r>
        <w:t xml:space="preserve">. Based on ongoing work with the PLUGIN healthcare consortium (</w:t>
      </w:r>
      <w:hyperlink r:id="rId26">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(Health-RI 2024)</w:t>
      </w:r>
      <w:r>
        <w:t xml:space="preserve">.</w:t>
      </w:r>
      <w:r>
        <w:t xml:space="preserve"> </w:t>
      </w:r>
      <w:hyperlink w:anchor="fig-healthri-architecture">
        <w:r>
          <w:rPr>
            <w:rStyle w:val="Hyperlink"/>
          </w:rPr>
          <w:t xml:space="preserve">Figure 1</w:t>
        </w:r>
      </w:hyperlink>
      <w:r>
        <w:t xml:space="preserve"> </w:t>
      </w:r>
      <w:r>
        <w:t xml:space="preserve">shows a high level overview of the platform, which comprises three areas (multiple use, applications and generic features) and a total of 26 functional components (for details please refer to</w:t>
      </w:r>
      <w:r>
        <w:t xml:space="preserve"> </w:t>
      </w:r>
      <w:r>
        <w:t xml:space="preserve">(Health-RI 2024)</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0" w:name="fig-healthri-architecture"/>
          <w:p>
            <w:pPr>
              <w:pStyle w:val="Compact"/>
              <w:jc w:val="center"/>
            </w:pPr>
            <w:r>
              <w:drawing>
                <wp:inline>
                  <wp:extent cx="5334000" cy="3908821"/>
                  <wp:effectExtent b="0" l="0" r="0" t="0"/>
                  <wp:docPr descr="" title="" id="28" name="Picture"/>
                  <a:graphic>
                    <a:graphicData uri="http://schemas.openxmlformats.org/drawingml/2006/picture">
                      <pic:pic>
                        <pic:nvPicPr>
                          <pic:cNvPr descr="health-ri-architecture.png" id="29" name="Picture"/>
                          <pic:cNvPicPr>
                            <a:picLocks noChangeArrowheads="1" noChangeAspect="1"/>
                          </pic:cNvPicPr>
                        </pic:nvPicPr>
                        <pic:blipFill>
                          <a:blip r:embed="rId27"/>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(Health-RI 2024)</w:t>
            </w:r>
          </w:p>
          <w:bookmarkEnd w:id="30"/>
        </w:tc>
      </w:tr>
    </w:tbl>
    <w:p>
      <w:pPr>
        <w:pStyle w:val="BodyText"/>
      </w:pPr>
      <w:r>
        <w:t xml:space="preserve">Following the line of reasoning of Tsafnat et al., OMOP would be the go-to standard for storing the longitudinal data in each of the data stations. Indeed, by now there are quite a few reports of real-world implementations of federated learning networks based on the OHDSI-OMOP stack, including a global infrastructure with 22 centres for COVID19 prediction models</w:t>
      </w:r>
      <w:r>
        <w:t xml:space="preserve">(Khalid et al. 2021)</w:t>
      </w:r>
      <w:r>
        <w:t xml:space="preserve">, FeederNet in South Korea with 57 participating hospitals</w:t>
      </w:r>
      <w:r>
        <w:t xml:space="preserve"> </w:t>
      </w:r>
      <w:r>
        <w:t xml:space="preserve">(Lee et al. 2022)</w:t>
      </w:r>
      <w:r>
        <w:t xml:space="preserve">, Dutch multi-cohort dementia research with 9 centres</w:t>
      </w:r>
      <w:r>
        <w:t xml:space="preserve"> </w:t>
      </w:r>
      <w:r>
        <w:t xml:space="preserve">(Mateus et al. 2024)</w:t>
      </w:r>
      <w:r>
        <w:t xml:space="preserve">, the European severe heterogeneous asthma research collaboration</w:t>
      </w:r>
      <w:r>
        <w:t xml:space="preserve"> </w:t>
      </w:r>
      <w:r>
        <w:t xml:space="preserve">(Kroes et al. 2022)</w:t>
      </w:r>
      <w:r>
        <w:t xml:space="preserve"> </w:t>
      </w:r>
      <w:r>
        <w:t xml:space="preserve">and the recently initiated Belgian FEIN network [TO DO: add reference].</w:t>
      </w:r>
    </w:p>
    <w:p>
      <w:pPr>
        <w:pStyle w:val="BodyText"/>
      </w:pPr>
      <w:r>
        <w:t xml:space="preserve">For the PLUGIN project, however, we choose to adopt FHIR as the common data model because of its practicality and extensibility to be used in a Python-based data science stack, provenance of RESTful APIs out-of-the-box to facilitate easy integration with the container-based vantage6 FL framework, support of many healthcare terminologies and flexibility through the profiling mechanims</w:t>
      </w:r>
      <w:r>
        <w:t xml:space="preserve"> </w:t>
      </w:r>
      <w:r>
        <w:t xml:space="preserve">(Choudhury et al. 2020; Smits et al. 2022)</w:t>
      </w:r>
      <w:r>
        <w:t xml:space="preserve">. Increasingly, other projects have reported the use of FHIR for persistent, longitudinal storage for FL. The CODA platform, which aims to implement a similar FL infrastructure in Canada, compared OMOP and FHIR and chose the latter as it has been found to support more granular mappings required for analytics</w:t>
      </w:r>
      <w:r>
        <w:t xml:space="preserve"> </w:t>
      </w:r>
      <w:r>
        <w:t xml:space="preserve">(Mullie et al. 2023)</w:t>
      </w:r>
      <w:r>
        <w:t xml:space="preserve">. The fair4health project has implemented also based on FHIR, using their own open source framework for the federated learning infrastructure itself</w:t>
      </w:r>
      <w:r>
        <w:t xml:space="preserve"> </w:t>
      </w:r>
      <w:r>
        <w:t xml:space="preserve">(Sinaci et al. 2024)</w:t>
      </w:r>
      <w:r>
        <w:t xml:space="preserve">.</w:t>
      </w:r>
    </w:p>
    <w:p>
      <w:pPr>
        <w:pStyle w:val="BodyText"/>
      </w:pPr>
      <w:r>
        <w:t xml:space="preserve">Given that conceptually OMOP can be viewed as a strict subset of FHIR, hybrid solutions using OMOP and FHIR combined have also been reported, such as the German KETOS platform</w:t>
      </w:r>
      <w:r>
        <w:t xml:space="preserve"> </w:t>
      </w:r>
      <w:r>
        <w:t xml:space="preserve">(Gruendner et al. 2019)</w:t>
      </w:r>
      <w:r>
        <w:t xml:space="preserve">, and the preliminary findings from the European GenoMed4All project which aims to connect clinical and -omics data</w:t>
      </w:r>
      <w:r>
        <w:t xml:space="preserve"> </w:t>
      </w:r>
      <w:r>
        <w:t xml:space="preserve">(Cremonesi et al. 2023)</w:t>
      </w:r>
      <w:r>
        <w:t xml:space="preserve">. A collaboration of 10 university hospitals in Germany have shown that standardized ETL-processing from FHIR into OMOP can achieve 99% conformance</w:t>
      </w:r>
      <w:r>
        <w:t xml:space="preserve"> </w:t>
      </w:r>
      <w:r>
        <w:t xml:space="preserve">(Peng et al. 2023)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https://omoponfhir.org indeed will foster convergence rather than collision between these two standards.</w:t>
      </w:r>
    </w:p>
    <w:p>
      <w:pPr>
        <w:pStyle w:val="BodyText"/>
      </w:pPr>
      <w:r>
        <w:t xml:space="preserve">In the case of PLUGIN, however, we had other considerations to choose FHIR as the persistent storage format of the data stations. One of the important considerations is that we found that the mechanism of FHIR Profiles can be tied to concept of late binding commonly applied in data lake/warehouse architectures: allow ingest of widely different sources, and gradually add more constraints and validations as you move closer to a specific use case. If machine learning is the primary objective for secondary use, we want to be able to cast a wider net of relevant data, rather than being to restrictive when ingesting the data at the start of processing pipeline. Late binding in data warehousing is a design philosophy where data transformation and schema enforcement are deferred until as late as possible in the data processing pipeline, sometimes even until query time. This approach contrasts with early binding, where data is transformed and structured as it is ingested into the data warehouse. This principle is visualized as concentric circles (</w:t>
      </w:r>
      <w:hyperlink w:anchor="fig-late-binding">
        <w:r>
          <w:rPr>
            <w:rStyle w:val="Hyperlink"/>
          </w:rPr>
          <w:t xml:space="preserve">Figure 2</w:t>
        </w:r>
      </w:hyperlink>
      <w:r>
        <w:t xml:space="preserve">). The advantages of this design is that it allows for greater flexibility. During the initial ingest of the data, we only require the data to conform to the minimal syntactic standard defined by the base FHIR version (R4 in the diagram). As the data is processed, more strict checks and constrains are applied, whereby ultimately different profiles can co-exists next to one another (the two most inner circles), within a larger circle with fewer strictions. This approach does not support the extension mechanism of FHIR, so we need to be cautious if we decide to use that.</w:t>
      </w:r>
    </w:p>
    <w:tbl>
      <w:tblPr>
        <w:tblStyle w:val="Table"/>
        <w:tblW w:type="pct" w:w="5000"/>
        <w:tblLook w:firstRow="0" w:lastRow="0" w:firstColumn="0" w:lastColumn="0" w:noHBand="0" w:noVBand="0" w:val="0000"/>
        <w:jc w:val="start"/>
        <w:tblLayout w:type="fixed"/>
      </w:tblPr>
      <w:tblGrid>
        <w:gridCol w:w="7920"/>
      </w:tblGrid>
      <w:tr>
        <w:tc>
          <w:tcPr/>
          <w:bookmarkStart w:id="34" w:name="fig-late-binding"/>
          <w:p>
            <w:pPr>
              <w:pStyle w:val="Compact"/>
              <w:jc w:val="center"/>
            </w:pPr>
            <w:r>
              <w:drawing>
                <wp:inline>
                  <wp:extent cx="5334000" cy="2736938"/>
                  <wp:effectExtent b="0" l="0" r="0" t="0"/>
                  <wp:docPr descr="" title="" id="32" name="Picture"/>
                  <a:graphic>
                    <a:graphicData uri="http://schemas.openxmlformats.org/drawingml/2006/picture">
                      <pic:pic>
                        <pic:nvPicPr>
                          <pic:cNvPr descr="late-binding.png" id="33" name="Picture"/>
                          <pic:cNvPicPr>
                            <a:picLocks noChangeArrowheads="1" noChangeAspect="1"/>
                          </pic:cNvPicPr>
                        </pic:nvPicPr>
                        <pic:blipFill>
                          <a:blip r:embed="rId31"/>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w:t>
            </w:r>
          </w:p>
          <w:bookmarkEnd w:id="34"/>
        </w:tc>
      </w:tr>
    </w:tbl>
    <w:p>
      <w:pPr>
        <w:pStyle w:val="BodyText"/>
      </w:pPr>
      <w:r>
        <w:t xml:space="preserve">We found that this principle of late binding also allows flexible and efficient implementations of the data stations that make use of the current best practices of the a lakehouse architecture of</w:t>
      </w:r>
      <w:r>
        <w:t xml:space="preserve"> </w:t>
      </w:r>
      <w:r>
        <w:t xml:space="preserve">(Hai et al. 2023; Harby and Zulkernine 2022, 2024)</w:t>
      </w:r>
      <w:r>
        <w:t xml:space="preserve"> </w:t>
      </w:r>
      <w:r>
        <w:t xml:space="preserve">and the composable data stack</w:t>
      </w:r>
      <w:r>
        <w:t xml:space="preserve"> </w:t>
      </w:r>
      <w:r>
        <w:t xml:space="preserve">(Pedreira et al. 2023)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(Hai et al. 2023)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(Armbrust et al. 2021)</w:t>
      </w:r>
      <w:r>
        <w:t xml:space="preserve">. Lakehouses thus combine the key benefits of data lakes and data warehouses: low-cost storage in an open format accessible by a variety of systems from the former, and powerful management and optimization features from the latter.</w:t>
      </w:r>
    </w:p>
    <w:p>
      <w:pPr>
        <w:pStyle w:val="BodyText"/>
      </w:pPr>
      <w:r>
        <w:t xml:space="preserve">The main disadvantage in using FHIR in this way pertains to the need for upgrading the whole ELT pipeline when upgrading to a new primary FHIR version, for example R5. However, we expect that the development time required to upgrade FHIR versions is significantly less than the initial migration to FHIR.</w:t>
      </w:r>
    </w:p>
    <w:p>
      <w:pPr>
        <w:pStyle w:val="BodyText"/>
      </w:pPr>
      <w:r>
        <w:t xml:space="preserve">[TO DO: add more arguments here, finish this section with conclusion/summary for this use-case]</w:t>
      </w:r>
    </w:p>
    <w:bookmarkEnd w:id="35"/>
    <w:bookmarkStart w:id="44" w:name="Xc5e3e36b6edd787ea1fca78efbadb49866b039a"/>
    <w:p>
      <w:pPr>
        <w:pStyle w:val="Heading2"/>
      </w:pPr>
      <w:r>
        <w:t xml:space="preserve">Health data standards in low- and middle income countries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 beyond project-centric, vertical solutions into sustainable health information exchanges. And also here, many have called to converge towards open standards</w:t>
      </w:r>
      <w:r>
        <w:t xml:space="preserve"> </w:t>
      </w:r>
      <w:r>
        <w:t xml:space="preserve">(Mehl et al. 2023)</w:t>
      </w:r>
      <w:r>
        <w:t xml:space="preserve">. Based on our direct involvement in implementing and designing health data platforms in sub-Saharan African countries, and in line with the approach put forward by Mehl et al., we emphasis the need for convergence not only on i) open standards, but also on ii) open technologies (similar to our arguments discussed in the above), iii) open architectures (doucmentation, using open standards, of reusable enterprise architecture patterns for health systems) and iv) open content (representations of public health, health system or clinical knowledge to guide implementations).</w:t>
      </w:r>
    </w:p>
    <w:p>
      <w:pPr>
        <w:pStyle w:val="BodyText"/>
      </w:pPr>
      <w:r>
        <w:t xml:space="preserve">Many sub-Saharan African countries have adopted the OpenHIE framework</w:t>
      </w:r>
      <w:r>
        <w:t xml:space="preserve"> </w:t>
      </w:r>
      <w:r>
        <w:t xml:space="preserve">(</w:t>
      </w:r>
      <w:r>
        <w:t xml:space="preserve">“</w:t>
      </w:r>
      <w:r>
        <w:t xml:space="preserve">OpenHIE Framework</w:t>
      </w:r>
      <w:r>
        <w:t xml:space="preserve"> </w:t>
      </w:r>
      <w:r>
        <w:t xml:space="preserve">V5.0”</w:t>
      </w:r>
      <w:r>
        <w:t xml:space="preserve"> </w:t>
      </w:r>
      <w:r>
        <w:t xml:space="preserve">2022)</w:t>
      </w:r>
      <w:r>
        <w:t xml:space="preserve"> </w:t>
      </w:r>
      <w:r>
        <w:t xml:space="preserve">as the architectural blueprint for implementing nation-wide health information exchanges (HIE)</w:t>
      </w:r>
      <w:r>
        <w:t xml:space="preserve"> </w:t>
      </w:r>
      <w:r>
        <w:t xml:space="preserve">(Mamuye et al. 2022)</w:t>
      </w:r>
      <w:r>
        <w:t xml:space="preserve">, including Nigeria</w:t>
      </w:r>
      <w:r>
        <w:t xml:space="preserve"> </w:t>
      </w:r>
      <w:r>
        <w:t xml:space="preserve">(Dalhatu et al. 2023)</w:t>
      </w:r>
      <w:r>
        <w:t xml:space="preserve">, Kenya</w:t>
      </w:r>
      <w:r>
        <w:t xml:space="preserve"> </w:t>
      </w:r>
      <w:r>
        <w:t xml:space="preserve">(Thaiya et al. 2021)</w:t>
      </w:r>
      <w:r>
        <w:t xml:space="preserve"> </w:t>
      </w:r>
      <w:r>
        <w:t xml:space="preserve">and Tanzania</w:t>
      </w:r>
      <w:r>
        <w:t xml:space="preserve"> </w:t>
      </w:r>
      <w:r>
        <w:t xml:space="preserve">(Nsaghurwe et al. 2021)</w:t>
      </w:r>
      <w:r>
        <w:t xml:space="preserve">. While the OpenHIE specification is agnostic to which data standard should be used, in practice the digital health community in the global South have</w:t>
      </w:r>
      <w:r>
        <w:t xml:space="preserve"> </w:t>
      </w:r>
      <w:r>
        <w:rPr>
          <w:iCs/>
          <w:i/>
        </w:rPr>
        <w:t xml:space="preserve">de facto</w:t>
      </w:r>
      <w:r>
        <w:t xml:space="preserve"> </w:t>
      </w:r>
      <w:r>
        <w:t xml:space="preserve">converged towards FHIR as the common data model, not only for data exchange, but also for point-of-service systems to support clinical care and administration, and persistent, longitudinal storage of data in the so-called Shared Health Record</w:t>
      </w:r>
      <w:r>
        <w:t xml:space="preserve"> </w:t>
      </w:r>
      <w:r>
        <w:t xml:space="preserve">(</w:t>
      </w:r>
      <w:r>
        <w:t xml:space="preserve">“</w:t>
      </w:r>
      <w:r>
        <w:t xml:space="preserve">OHIE23 Unconference</w:t>
      </w:r>
      <w:r>
        <w:t xml:space="preserve"> </w:t>
      </w:r>
      <w:r>
        <w:t xml:space="preserve">101”</w:t>
      </w:r>
      <w:r>
        <w:t xml:space="preserve"> </w:t>
      </w:r>
      <w:r>
        <w:t xml:space="preserve">2023)</w:t>
      </w:r>
      <w:r>
        <w:t xml:space="preserve">. The adoption of FHIR as the default standard for all three domains is fueled by the widespread availibility of open-access software infrastructure which enables an end-to-end integration. To illustrate this, consider for example, the Open Health Stack (OHS) consists of a new suite of digital public goods, including a software development kit for building FHIR-native apps on Android, and analytics tooling to generate insights from FHIR data. This solution design blurs the distinction between the three original domains for health data standardization.</w:t>
      </w:r>
    </w:p>
    <w:tbl>
      <w:tblPr>
        <w:tblStyle w:val="Table"/>
        <w:tblW w:type="pct" w:w="5000"/>
        <w:tblLook w:firstRow="0" w:lastRow="0" w:firstColumn="0" w:lastColumn="0" w:noHBand="0" w:noVBand="0" w:val="0000"/>
        <w:jc w:val="start"/>
        <w:tblLayout w:type="fixed"/>
      </w:tblPr>
      <w:tblGrid>
        <w:gridCol w:w="7920"/>
      </w:tblGrid>
      <w:tr>
        <w:tc>
          <w:tcPr/>
          <w:bookmarkStart w:id="36" w:name="tbl-kenya-facilities"/>
          <w:p>
            <w:pPr>
              <w:jc w:val="center"/>
            </w:pPr>
            <w:pPr>
              <w:jc w:val="start"/>
              <w:spacing w:before="200"/>
              <w:pStyle w:val="ImageCaption"/>
            </w:pPr>
            <w:r>
              <w:t xml:space="preserve">Table 1: Number of healthcare facilities in Kenya. Source: Kenya Health Facility Census, Ministry of Health, September 2023.</w:t>
            </w:r>
          </w:p>
          <w:tbl>
            <w:tblPr>
              <w:tblStyle w:val="Table"/>
              <w:tblW w:type="pct" w:w="5000"/>
              <w:tblLook w:firstRow="1" w:lastRow="0" w:firstColumn="0" w:lastColumn="0" w:noHBand="0" w:noVBand="0" w:val="0020"/>
              <w:jc w:val="start"/>
              <w:tblLayout w:type="fixed"/>
            </w:tblPr>
            <w:tblGrid>
              <w:gridCol w:w="1100"/>
              <w:gridCol w:w="4840"/>
              <w:gridCol w:w="1980"/>
            </w:tblGrid>
            <w:tr>
              <w:trPr>
                <w:tblHeader w:val="true"/>
              </w:trPr>
              <w:tc>
                <w:tcPr/>
                <w:p>
                  <w:pPr>
                    <w:pStyle w:val="Compact"/>
                    <w:jc w:val="center"/>
                    <w:jc w:val="center"/>
                  </w:pPr>
                  <w:r>
                    <w:t xml:space="preserve">Level</w:t>
                  </w:r>
                </w:p>
              </w:tc>
              <w:tc>
                <w:tcPr/>
                <w:p>
                  <w:pPr>
                    <w:pStyle w:val="Compact"/>
                    <w:jc w:val="left"/>
                    <w:jc w:val="center"/>
                  </w:pPr>
                  <w:r>
                    <w:t xml:space="preserve">Description</w:t>
                  </w:r>
                </w:p>
              </w:tc>
              <w:tc>
                <w:tcPr/>
                <w:p>
                  <w:pPr>
                    <w:pStyle w:val="Compact"/>
                    <w:jc w:val="right"/>
                    <w:jc w:val="center"/>
                  </w:pPr>
                  <w:r>
                    <w:t xml:space="preserve">Number of facilities</w:t>
                  </w:r>
                </w:p>
              </w:tc>
            </w:tr>
            <w:tr>
              <w:tc>
                <w:tcPr/>
                <w:p>
                  <w:pPr>
                    <w:pStyle w:val="Compact"/>
                    <w:jc w:val="center"/>
                    <w:jc w:val="center"/>
                  </w:pPr>
                  <w:r>
                    <w:t xml:space="preserve">2</w:t>
                  </w:r>
                </w:p>
              </w:tc>
              <w:tc>
                <w:tcPr/>
                <w:p>
                  <w:pPr>
                    <w:pStyle w:val="Compact"/>
                    <w:jc w:val="left"/>
                    <w:jc w:val="center"/>
                  </w:pPr>
                  <w:r>
                    <w:t xml:space="preserve">Dispensaries and private clincs, typically located in a school, industrial plant or other organization that dispenses medication and sometimes basic medical and dental treatment</w:t>
                  </w:r>
                </w:p>
              </w:tc>
              <w:tc>
                <w:tcPr/>
                <w:p>
                  <w:pPr>
                    <w:pStyle w:val="Compact"/>
                    <w:jc w:val="right"/>
                    <w:jc w:val="center"/>
                  </w:pPr>
                  <w:r>
                    <w:t xml:space="preserve">8,806</w:t>
                  </w:r>
                </w:p>
              </w:tc>
            </w:tr>
            <w:tr>
              <w:tc>
                <w:tcPr/>
                <w:p>
                  <w:pPr>
                    <w:pStyle w:val="Compact"/>
                    <w:jc w:val="center"/>
                    <w:jc w:val="center"/>
                  </w:pPr>
                  <w:r>
                    <w:t xml:space="preserve">3</w:t>
                  </w:r>
                </w:p>
              </w:tc>
              <w:tc>
                <w:tcPr/>
                <w:p>
                  <w:pPr>
                    <w:pStyle w:val="Compact"/>
                    <w:jc w:val="left"/>
                    <w:jc w:val="center"/>
                  </w:pPr>
                  <w:r>
                    <w:t xml:space="preserve">Health centres, medium-sized units which cater for a population of about 80,000 people</w:t>
                  </w:r>
                </w:p>
              </w:tc>
              <w:tc>
                <w:tcPr/>
                <w:p>
                  <w:pPr>
                    <w:pStyle w:val="Compact"/>
                    <w:jc w:val="right"/>
                    <w:jc w:val="center"/>
                  </w:pPr>
                  <w:r>
                    <w:t xml:space="preserve">2,559</w:t>
                  </w:r>
                </w:p>
              </w:tc>
            </w:tr>
            <w:tr>
              <w:tc>
                <w:tcPr/>
                <w:p>
                  <w:pPr>
                    <w:pStyle w:val="Compact"/>
                    <w:jc w:val="center"/>
                    <w:jc w:val="center"/>
                  </w:pPr>
                  <w:r>
                    <w:t xml:space="preserve">4</w:t>
                  </w:r>
                </w:p>
              </w:tc>
              <w:tc>
                <w:tcPr/>
                <w:p>
                  <w:pPr>
                    <w:pStyle w:val="Compact"/>
                    <w:jc w:val="left"/>
                    <w:jc w:val="center"/>
                  </w:pPr>
                  <w:r>
                    <w:t xml:space="preserve">Sub-county hospital, similar to health centres with additional facilities for more complex procedures</w:t>
                  </w:r>
                </w:p>
              </w:tc>
              <w:tc>
                <w:tcPr/>
                <w:p>
                  <w:pPr>
                    <w:pStyle w:val="Compact"/>
                    <w:jc w:val="right"/>
                    <w:jc w:val="center"/>
                  </w:pPr>
                  <w:r>
                    <w:t xml:space="preserve">971</w:t>
                  </w:r>
                </w:p>
              </w:tc>
            </w:tr>
            <w:tr>
              <w:tc>
                <w:tcPr/>
                <w:p>
                  <w:pPr>
                    <w:pStyle w:val="Compact"/>
                    <w:jc w:val="center"/>
                    <w:jc w:val="center"/>
                  </w:pPr>
                  <w:r>
                    <w:t xml:space="preserve">5</w:t>
                  </w:r>
                </w:p>
              </w:tc>
              <w:tc>
                <w:tcPr/>
                <w:p>
                  <w:pPr>
                    <w:pStyle w:val="Compact"/>
                    <w:jc w:val="left"/>
                    <w:jc w:val="center"/>
                  </w:pPr>
                  <w:r>
                    <w:t xml:space="preserve">County referral hospital, regional centres which provide specialised care</w:t>
                  </w:r>
                </w:p>
              </w:tc>
              <w:tc>
                <w:tcPr/>
                <w:p>
                  <w:pPr>
                    <w:pStyle w:val="Compact"/>
                    <w:jc w:val="right"/>
                    <w:jc w:val="center"/>
                  </w:pPr>
                  <w:r>
                    <w:t xml:space="preserve">34</w:t>
                  </w:r>
                </w:p>
              </w:tc>
            </w:tr>
            <w:tr>
              <w:tc>
                <w:tcPr/>
                <w:p>
                  <w:pPr>
                    <w:pStyle w:val="Compact"/>
                    <w:jc w:val="center"/>
                    <w:jc w:val="center"/>
                  </w:pPr>
                  <w:r>
                    <w:t xml:space="preserve">6</w:t>
                  </w:r>
                </w:p>
              </w:tc>
              <w:tc>
                <w:tcPr/>
                <w:p>
                  <w:pPr>
                    <w:pStyle w:val="Compact"/>
                    <w:jc w:val="left"/>
                    <w:jc w:val="center"/>
                  </w:pPr>
                  <w:r>
                    <w:t xml:space="preserve">National referral hospital</w:t>
                  </w:r>
                </w:p>
              </w:tc>
              <w:tc>
                <w:tcPr/>
                <w:p>
                  <w:pPr>
                    <w:pStyle w:val="Compact"/>
                    <w:jc w:val="right"/>
                    <w:jc w:val="center"/>
                  </w:pPr>
                  <w:r>
                    <w:t xml:space="preserve">5</w:t>
                  </w:r>
                </w:p>
              </w:tc>
            </w:tr>
          </w:tbl>
          <w:bookmarkEnd w:id="36"/>
          <w:p/>
        </w:tc>
      </w:tr>
    </w:tbl>
    <w:p>
      <w:pPr>
        <w:pStyle w:val="BodyText"/>
      </w:pPr>
      <w:r>
        <w:t xml:space="preserve">Arguments to add:</w:t>
      </w:r>
    </w:p>
    <w:p>
      <w:pPr>
        <w:numPr>
          <w:ilvl w:val="0"/>
          <w:numId w:val="1001"/>
        </w:numPr>
        <w:pStyle w:val="Compact"/>
      </w:pPr>
      <w:r>
        <w:t xml:space="preserve">explain that we don’t see OpenEHR playing any role of significance. Largest open source EHR implementations working with own data models. Unlikely this will change any time soon</w:t>
      </w:r>
      <w:r>
        <w:t xml:space="preserve"> </w:t>
      </w:r>
      <w:r>
        <w:t xml:space="preserve">(Syzdykova et al. 2017)</w:t>
      </w:r>
    </w:p>
    <w:p>
      <w:pPr>
        <w:numPr>
          <w:ilvl w:val="0"/>
          <w:numId w:val="1001"/>
        </w:numPr>
        <w:pStyle w:val="Compact"/>
      </w:pPr>
      <w:r>
        <w:t xml:space="preserve">instead, we see that FHIR is in fact being adopted as a point-of-service system. this is possible because data is of lower complexity and the majority of smaller health facilities are resource constrained anyway –&gt; moving towards a scenario where an app used by the health care worker is the system of record. Here we see a convergence of the three domains put forward by Tsafnat: the Shared Health Record serves as the back-end of the system-of-record, it provides a transactional, persistent storage engine for enabling information exchange and it is the longitudinal data that is used downstream for analytics, monitoring etc.</w:t>
      </w:r>
    </w:p>
    <w:p>
      <w:pPr>
        <w:numPr>
          <w:ilvl w:val="0"/>
          <w:numId w:val="1001"/>
        </w:numPr>
        <w:pStyle w:val="Compact"/>
      </w:pPr>
      <w:r>
        <w:t xml:space="preserve">explain example OHS/OpenSRP: maternal care</w:t>
      </w:r>
    </w:p>
    <w:p>
      <w:pPr>
        <w:numPr>
          <w:ilvl w:val="0"/>
          <w:numId w:val="1001"/>
        </w:numPr>
        <w:pStyle w:val="Compact"/>
      </w:pPr>
    </w:p>
    <w:p>
      <w:pPr>
        <w:numPr>
          <w:ilvl w:val="1"/>
          <w:numId w:val="1002"/>
        </w:numPr>
        <w:pStyle w:val="Compact"/>
      </w:pPr>
      <w:r>
        <w:t xml:space="preserve">explain there is lot of complementatry open technologies and open content, to get going</w:t>
      </w:r>
    </w:p>
    <w:p>
      <w:pPr>
        <w:numPr>
          <w:ilvl w:val="1"/>
          <w:numId w:val="1002"/>
        </w:numPr>
        <w:pStyle w:val="Compact"/>
      </w:pPr>
      <w:r>
        <w:t xml:space="preserve">and SDK to build apps</w:t>
      </w:r>
    </w:p>
    <w:p>
      <w:pPr>
        <w:numPr>
          <w:ilvl w:val="1"/>
          <w:numId w:val="1002"/>
        </w:numPr>
        <w:pStyle w:val="Compact"/>
      </w:pPr>
      <w:r>
        <w:t xml:space="preserve">Clinical workflows which can be configured in a FHIR-native front- and backend</w:t>
      </w:r>
    </w:p>
    <w:p>
      <w:pPr>
        <w:numPr>
          <w:ilvl w:val="1"/>
          <w:numId w:val="1002"/>
        </w:numPr>
        <w:pStyle w:val="Compact"/>
      </w:pPr>
      <w:r>
        <w:t xml:space="preserve">InstantHIE to deploy a swarm of containers to provision all relevant components</w:t>
      </w:r>
    </w:p>
    <w:p>
      <w:pPr>
        <w:numPr>
          <w:ilvl w:val="1"/>
          <w:numId w:val="1002"/>
        </w:numPr>
        <w:pStyle w:val="Compact"/>
      </w:pPr>
      <w:r>
        <w:t xml:space="preserve">leverage open source data &amp; analytics components to build data stations/data warehouses at any scle</w:t>
      </w:r>
    </w:p>
    <w:p>
      <w:pPr>
        <w:numPr>
          <w:ilvl w:val="0"/>
          <w:numId w:val="1001"/>
        </w:numPr>
        <w:pStyle w:val="Compact"/>
      </w:pPr>
      <w:r>
        <w:t xml:space="preserve">also technical advantages of FHIR</w:t>
      </w:r>
    </w:p>
    <w:p>
      <w:pPr>
        <w:numPr>
          <w:ilvl w:val="1"/>
          <w:numId w:val="1003"/>
        </w:numPr>
        <w:pStyle w:val="Compact"/>
      </w:pPr>
      <w:r>
        <w:t xml:space="preserve">explain that because FHIR is based on web technologies, it lends it self serverless implementations, separation of storage and compute(ref composable data stack); and downward scaleability (running in the browser)</w:t>
      </w:r>
    </w:p>
    <w:p>
      <w:pPr>
        <w:numPr>
          <w:ilvl w:val="1"/>
          <w:numId w:val="1003"/>
        </w:numPr>
        <w:pStyle w:val="Compact"/>
      </w:pPr>
      <w:r>
        <w:t xml:space="preserve">how does this relate to ontologies/graph-based? FHIR can be expressed in graphs</w:t>
      </w:r>
      <w:r>
        <w:t xml:space="preserve"> </w:t>
      </w:r>
      <w:r>
        <w:t xml:space="preserve">(Gebreslassie et al. 2023)</w:t>
      </w:r>
      <w:r>
        <w:t xml:space="preserve">]</w:t>
      </w:r>
    </w:p>
    <w:p>
      <w:pPr>
        <w:numPr>
          <w:ilvl w:val="0"/>
          <w:numId w:val="1001"/>
        </w:numPr>
        <w:pStyle w:val="Compact"/>
      </w:pPr>
      <w:r>
        <w:t xml:space="preserve">main disadvantages</w:t>
      </w:r>
    </w:p>
    <w:p>
      <w:pPr>
        <w:numPr>
          <w:ilvl w:val="1"/>
          <w:numId w:val="1004"/>
        </w:numPr>
        <w:pStyle w:val="Compact"/>
      </w:pPr>
      <w:r>
        <w:t xml:space="preserve">FHIR profiling and versions. Still lot of work to be done prevent sprawl of profiles. Many LMICs still lack a standardized, national core profile. Inititives such as the International Patient Summary can be used as a stepping stone to provide arrive at a consistent profile for high-volume, low-complexity care such as maternal and antenatal care (ANC) and non-communicable diseases (NCD). In our experience, deployment of these HIEs have a strong focus on enabling primary care networks, where it makes economic sense to combine the SHR as a shared system-of-record of such a network.</w:t>
      </w:r>
    </w:p>
    <w:bookmarkStart w:id="43" w:name="fig-openhie"/>
    <w:tbl>
      <w:tblPr>
        <w:tblStyle w:val="Table"/>
        <w:tblW w:type="pct" w:w="4900"/>
        <w:tblLook w:firstRow="0" w:lastRow="0" w:firstColumn="0" w:lastColumn="0" w:noHBand="0" w:noVBand="0" w:val="0000"/>
        <w:jc w:val="start"/>
        <w:tblLayout w:type="fixed"/>
      </w:tblPr>
      <w:tblGrid>
        <w:gridCol w:w="7761"/>
      </w:tblGrid>
      <w:tr>
        <w:tc>
          <w:tcPr/>
          <w:p>
            <w:pPr>
              <w:pStyle w:val="CaptionedFigure"/>
              <w:jc w:val="left"/>
            </w:pPr>
            <w:r>
              <w:drawing>
                <wp:inline>
                  <wp:extent cx="5334000" cy="3798031"/>
                  <wp:effectExtent b="0" l="0" r="0" t="0"/>
                  <wp:docPr descr="a)" title="" id="38" name="Picture"/>
                  <a:graphic>
                    <a:graphicData uri="http://schemas.openxmlformats.org/drawingml/2006/picture">
                      <pic:pic>
                        <pic:nvPicPr>
                          <pic:cNvPr descr="openhie.png" id="39" name="Picture"/>
                          <pic:cNvPicPr>
                            <a:picLocks noChangeArrowheads="1" noChangeAspect="1"/>
                          </pic:cNvPicPr>
                        </pic:nvPicPr>
                        <pic:blipFill>
                          <a:blip r:embed="rId37"/>
                          <a:stretch>
                            <a:fillRect/>
                          </a:stretch>
                        </pic:blipFill>
                        <pic:spPr bwMode="auto">
                          <a:xfrm>
                            <a:off x="0" y="0"/>
                            <a:ext cx="5334000" cy="3798031"/>
                          </a:xfrm>
                          <a:prstGeom prst="rect">
                            <a:avLst/>
                          </a:prstGeom>
                          <a:noFill/>
                          <a:ln w="9525">
                            <a:noFill/>
                            <a:headEnd/>
                            <a:tailEnd/>
                          </a:ln>
                        </pic:spPr>
                      </pic:pic>
                    </a:graphicData>
                  </a:graphic>
                </wp:inline>
              </w:drawing>
            </w:r>
          </w:p>
          <w:p>
            <w:pPr>
              <w:pStyle w:val="ImageCaption"/>
              <w:jc w:val="left"/>
            </w:pPr>
            <w:r>
              <w:t xml:space="preserve">a)</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pStyle w:val="CaptionedFigure"/>
              <w:jc w:val="left"/>
            </w:pPr>
            <w:r>
              <w:drawing>
                <wp:inline>
                  <wp:extent cx="5334000" cy="3000375"/>
                  <wp:effectExtent b="0" l="0" r="0" t="0"/>
                  <wp:docPr descr="b)" title="" id="41" name="Picture"/>
                  <a:graphic>
                    <a:graphicData uri="http://schemas.openxmlformats.org/drawingml/2006/picture">
                      <pic:pic>
                        <pic:nvPicPr>
                          <pic:cNvPr descr="ohs-endtoend.png" id="42"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r>
              <w:t xml:space="preserve">b)</w:t>
            </w:r>
          </w:p>
        </w:tc>
      </w:tr>
    </w:tbl>
    <w:p>
      <w:pPr>
        <w:pStyle w:val="BodyText"/>
      </w:pPr>
      <w:pPr>
        <w:spacing w:before="200"/>
        <w:pStyle w:val="ImageCaption"/>
      </w:pPr>
      <w:r>
        <w:t xml:space="preserve">Figure 3: The OpenHIE reference architecture (a) and themain components in the Open Health Stack (b).</w:t>
      </w:r>
    </w:p>
    <w:bookmarkEnd w:id="43"/>
    <w:bookmarkEnd w:id="44"/>
    <w:bookmarkStart w:id="45" w:name="conclusion-and-outlook"/>
    <w:p>
      <w:pPr>
        <w:pStyle w:val="Heading2"/>
      </w:pPr>
      <w:r>
        <w:t xml:space="preserve">Conclusion and outlook</w:t>
      </w:r>
    </w:p>
    <w:p>
      <w:pPr>
        <w:numPr>
          <w:ilvl w:val="0"/>
          <w:numId w:val="1005"/>
        </w:numPr>
        <w:pStyle w:val="Compact"/>
      </w:pPr>
      <w:r>
        <w:t xml:space="preserve">We underline the need for open data standards as a necessary condition to achieve interoperability</w:t>
      </w:r>
    </w:p>
    <w:p>
      <w:pPr>
        <w:numPr>
          <w:ilvl w:val="0"/>
          <w:numId w:val="1005"/>
        </w:numPr>
        <w:pStyle w:val="Compact"/>
      </w:pPr>
      <w:r>
        <w:t xml:space="preserve">It is not a sufficient condition</w:t>
      </w:r>
    </w:p>
    <w:p>
      <w:pPr>
        <w:numPr>
          <w:ilvl w:val="0"/>
          <w:numId w:val="1005"/>
        </w:numPr>
        <w:pStyle w:val="Compact"/>
      </w:pPr>
      <w:r>
        <w:t xml:space="preserve">Suggestion: can we maken OMOP and OpenEHR benefit from the open technologies on FHIR? We think that through making open source reference implementations, such as OMOP-on-FHIR (what’s EHR equivalent of that?) we can</w:t>
      </w:r>
    </w:p>
    <w:p>
      <w:pPr>
        <w:numPr>
          <w:ilvl w:val="0"/>
          <w:numId w:val="1005"/>
        </w:numPr>
        <w:pStyle w:val="Compact"/>
      </w:pPr>
      <w:r>
        <w:t xml:space="preserve">MPC as next step up from FL</w:t>
      </w:r>
    </w:p>
    <w:p>
      <w:pPr>
        <w:numPr>
          <w:ilvl w:val="0"/>
          <w:numId w:val="1005"/>
        </w:numPr>
        <w:pStyle w:val="Compact"/>
      </w:pPr>
      <w:r>
        <w:t xml:space="preserve">More than a decade later, we observe that only a very small fraction of health IT systems are based on open source, the majority of which are used in LMICs which we will discuss later</w:t>
      </w:r>
      <w:r>
        <w:t xml:space="preserve"> </w:t>
      </w:r>
      <w:r>
        <w:t xml:space="preserve">(</w:t>
      </w:r>
      <w:r>
        <w:t xml:space="preserve">“Digital</w:t>
      </w:r>
      <w:r>
        <w:t xml:space="preserve"> </w:t>
      </w:r>
      <w:r>
        <w:t xml:space="preserve">Public Goods Alliance</w:t>
      </w:r>
      <w:r>
        <w:t xml:space="preserve">”</w:t>
      </w:r>
      <w:r>
        <w:t xml:space="preserve"> </w:t>
      </w:r>
      <w:r>
        <w:t xml:space="preserve">2024)</w:t>
      </w:r>
      <w:r>
        <w:t xml:space="preserve">.</w:t>
      </w:r>
    </w:p>
    <w:bookmarkEnd w:id="45"/>
    <w:bookmarkStart w:id="112" w:name="bibliography"/>
    <w:p>
      <w:pPr>
        <w:pStyle w:val="Heading1"/>
      </w:pPr>
      <w:r>
        <w:t xml:space="preserve">References</w:t>
      </w:r>
    </w:p>
    <w:bookmarkStart w:id="111" w:name="refs"/>
    <w:bookmarkStart w:id="46" w:name="ref-armbrust2021lakehouse"/>
    <w:p>
      <w:pPr>
        <w:pStyle w:val="Bibliography"/>
      </w:pPr>
      <w:r>
        <w:t xml:space="preserve">Armbrust, Michael, Ali Ghodsi, Reynold Xin, and Matei Zaharia. 2021.</w:t>
      </w:r>
      <w:r>
        <w:t xml:space="preserve"> </w:t>
      </w:r>
      <w:r>
        <w:t xml:space="preserve">“Lakehouse: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w:t>
      </w:r>
      <w:r>
        <w:t xml:space="preserve"> </w:t>
      </w:r>
      <w:r>
        <w:t xml:space="preserve">In</w:t>
      </w:r>
      <w:r>
        <w:t xml:space="preserve"> </w:t>
      </w:r>
      <w:r>
        <w:rPr>
          <w:iCs/>
          <w:i/>
        </w:rPr>
        <w:t xml:space="preserve">11th</w:t>
      </w:r>
      <w:r>
        <w:rPr>
          <w:iCs/>
          <w:i/>
        </w:rPr>
        <w:t xml:space="preserve"> </w:t>
      </w:r>
      <w:r>
        <w:rPr>
          <w:iCs/>
          <w:i/>
        </w:rPr>
        <w:t xml:space="preserve">Annual Conference</w:t>
      </w:r>
      <w:r>
        <w:rPr>
          <w:iCs/>
          <w:i/>
        </w:rPr>
        <w:t xml:space="preserve"> </w:t>
      </w:r>
      <w:r>
        <w:rPr>
          <w:iCs/>
          <w:i/>
        </w:rPr>
        <w:t xml:space="preserve">on</w:t>
      </w:r>
      <w:r>
        <w:rPr>
          <w:iCs/>
          <w:i/>
        </w:rPr>
        <w:t xml:space="preserve"> </w:t>
      </w:r>
      <w:r>
        <w:rPr>
          <w:iCs/>
          <w:i/>
        </w:rPr>
        <w:t xml:space="preserve">Innovative Data Systems Research</w:t>
      </w:r>
      <w:r>
        <w:rPr>
          <w:iCs/>
          <w:i/>
        </w:rPr>
        <w:t xml:space="preserve"> </w:t>
      </w:r>
      <w:r>
        <w:rPr>
          <w:iCs/>
          <w:i/>
        </w:rPr>
        <w:t xml:space="preserve">(</w:t>
      </w:r>
      <w:r>
        <w:rPr>
          <w:iCs/>
          <w:i/>
        </w:rPr>
        <w:t xml:space="preserve">CIDR</w:t>
      </w:r>
      <w:r>
        <w:rPr>
          <w:iCs/>
          <w:i/>
        </w:rPr>
        <w:t xml:space="preserve"> </w:t>
      </w:r>
      <w:r>
        <w:rPr>
          <w:iCs/>
          <w:i/>
        </w:rPr>
        <w:t xml:space="preserve">’21)</w:t>
      </w:r>
      <w:r>
        <w:t xml:space="preserve">, 8.</w:t>
      </w:r>
    </w:p>
    <w:bookmarkEnd w:id="46"/>
    <w:bookmarkStart w:id="48" w:name="ref-choudhury2020personal"/>
    <w:p>
      <w:pPr>
        <w:pStyle w:val="Bibliography"/>
      </w:pPr>
      <w:r>
        <w:t xml:space="preserve">Choudhury, Ananya, Johan van Soest, Stuti Nayak, and Andre Dekker. 2020.</w:t>
      </w:r>
      <w:r>
        <w:t xml:space="preserve"> </w:t>
      </w:r>
      <w:r>
        <w:t xml:space="preserve">“Personal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edited by Arup Bhattacharjee, Samir Kr. Borgohain, Badal Soni, Gyanendra Verma, and Xiao-Zhi Gao, 85–95. Communications in</w:t>
      </w:r>
      <w:r>
        <w:t xml:space="preserve"> </w:t>
      </w:r>
      <w:r>
        <w:t xml:space="preserve">Computer</w:t>
      </w:r>
      <w:r>
        <w:t xml:space="preserve"> </w:t>
      </w:r>
      <w:r>
        <w:t xml:space="preserve">and</w:t>
      </w:r>
      <w:r>
        <w:t xml:space="preserve"> </w:t>
      </w:r>
      <w:r>
        <w:t xml:space="preserve">Information Science</w:t>
      </w:r>
      <w:r>
        <w:t xml:space="preserve">. Singapore: Springer.</w:t>
      </w:r>
      <w:r>
        <w:t xml:space="preserve"> </w:t>
      </w:r>
      <w:hyperlink r:id="rId47">
        <w:r>
          <w:rPr>
            <w:rStyle w:val="Hyperlink"/>
          </w:rPr>
          <w:t xml:space="preserve">https://doi.org/10.1007/978-981-15-6315-7_7</w:t>
        </w:r>
      </w:hyperlink>
      <w:r>
        <w:t xml:space="preserve">.</w:t>
      </w:r>
    </w:p>
    <w:bookmarkEnd w:id="48"/>
    <w:bookmarkStart w:id="50" w:name="ref-cremonesi2023need"/>
    <w:p>
      <w:pPr>
        <w:pStyle w:val="Bibliography"/>
      </w:pPr>
      <w:r>
        <w:t xml:space="preserve">Cremonesi, Francesco, Vincent Planat, Varvara Kalokyri, Haridimos Kondylakis, Tiziana Sanavia, Victor Miguel Mateos Resinas, Babita Singh, and Silvia Uribe. 2023.</w:t>
      </w:r>
      <w:r>
        <w:t xml:space="preserve"> </w:t>
      </w:r>
      <w:r>
        <w:t xml:space="preserve">“The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w:t>
      </w:r>
      <w:r>
        <w:t xml:space="preserve">141 (May): 104338.</w:t>
      </w:r>
      <w:r>
        <w:t xml:space="preserve"> </w:t>
      </w:r>
      <w:hyperlink r:id="rId49">
        <w:r>
          <w:rPr>
            <w:rStyle w:val="Hyperlink"/>
          </w:rPr>
          <w:t xml:space="preserve">https://doi.org/10.1016/j.jbi.2023.104338</w:t>
        </w:r>
      </w:hyperlink>
      <w:r>
        <w:t xml:space="preserve">.</w:t>
      </w:r>
    </w:p>
    <w:bookmarkEnd w:id="50"/>
    <w:bookmarkStart w:id="52" w:name="ref-dalhatu2023paper"/>
    <w:p>
      <w:pPr>
        <w:pStyle w:val="Bibliography"/>
      </w:pPr>
      <w:r>
        <w:t xml:space="preserve">Dalhatu, Ibrahim, Chinedu Aniekwe, Adebobola Bashorun, Alhassan Abdulkadir, Emilio Dirlikov, Stephen Ohakanu, Oluwasanmi Adedokun, et al. 2023.</w:t>
      </w:r>
      <w:r>
        <w:t xml:space="preserve"> </w:t>
      </w:r>
      <w:r>
        <w:t xml:space="preserve">“From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of Information in Medicine</w:t>
      </w:r>
      <w:r>
        <w:t xml:space="preserve"> </w:t>
      </w:r>
      <w:r>
        <w:t xml:space="preserve">62 (03/04): 130–39.</w:t>
      </w:r>
      <w:r>
        <w:t xml:space="preserve"> </w:t>
      </w:r>
      <w:hyperlink r:id="rId51">
        <w:r>
          <w:rPr>
            <w:rStyle w:val="Hyperlink"/>
          </w:rPr>
          <w:t xml:space="preserve">https://doi.org/10.1055/s-0043-1768711</w:t>
        </w:r>
      </w:hyperlink>
      <w:r>
        <w:t xml:space="preserve">.</w:t>
      </w:r>
    </w:p>
    <w:bookmarkEnd w:id="52"/>
    <w:bookmarkStart w:id="54" w:name="ref-dereuver2018digital"/>
    <w:p>
      <w:pPr>
        <w:pStyle w:val="Bibliography"/>
      </w:pPr>
      <w:r>
        <w:t xml:space="preserve">de Reuver, Mark, Carsten Sørensen, and Rahul C. Basole. 2018.</w:t>
      </w:r>
      <w:r>
        <w:t xml:space="preserve"> </w:t>
      </w:r>
      <w:r>
        <w:t xml:space="preserve">“The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w:t>
      </w:r>
      <w:r>
        <w:t xml:space="preserve">33 (2): 124–35.</w:t>
      </w:r>
      <w:r>
        <w:t xml:space="preserve"> </w:t>
      </w:r>
      <w:hyperlink r:id="rId53">
        <w:r>
          <w:rPr>
            <w:rStyle w:val="Hyperlink"/>
          </w:rPr>
          <w:t xml:space="preserve">https://doi.org/10.1057/s41265-016-0033-3</w:t>
        </w:r>
      </w:hyperlink>
      <w:r>
        <w:t xml:space="preserve">.</w:t>
      </w:r>
    </w:p>
    <w:bookmarkEnd w:id="54"/>
    <w:bookmarkStart w:id="55" w:name="ref-digitalpublicgoods"/>
    <w:p>
      <w:pPr>
        <w:pStyle w:val="Bibliography"/>
      </w:pPr>
      <w:r>
        <w:t xml:space="preserve">“Digital</w:t>
      </w:r>
      <w:r>
        <w:t xml:space="preserve"> </w:t>
      </w:r>
      <w:r>
        <w:t xml:space="preserve">Public Goods Alliance</w:t>
      </w:r>
      <w:r>
        <w:t xml:space="preserve">.”</w:t>
      </w:r>
      <w:r>
        <w:t xml:space="preserve"> </w:t>
      </w:r>
      <w:r>
        <w:t xml:space="preserve">2024.</w:t>
      </w:r>
      <w:r>
        <w:t xml:space="preserve"> </w:t>
      </w:r>
      <w:r>
        <w:rPr>
          <w:iCs/>
          <w:i/>
        </w:rPr>
        <w:t xml:space="preserve">Digital Public Goods Alliance - Promoting Digital Public Goods to Create a More Equitable World</w:t>
      </w:r>
      <w:r>
        <w:t xml:space="preserve">. https://digitalpublicgoods.net/.</w:t>
      </w:r>
    </w:p>
    <w:bookmarkEnd w:id="55"/>
    <w:bookmarkStart w:id="56" w:name="ref-firely2023fhir"/>
    <w:p>
      <w:pPr>
        <w:pStyle w:val="Bibliography"/>
      </w:pPr>
      <w:r>
        <w:t xml:space="preserve">Firely. 2023.</w:t>
      </w:r>
      <w:r>
        <w:t xml:space="preserve"> </w:t>
      </w:r>
      <w:r>
        <w:t xml:space="preserve">“</w:t>
      </w:r>
      <w:r>
        <w:t xml:space="preserve">FHIR</w:t>
      </w:r>
      <w:r>
        <w:t xml:space="preserve"> </w:t>
      </w:r>
      <w:r>
        <w:t xml:space="preserve">in</w:t>
      </w:r>
      <w:r>
        <w:t xml:space="preserve"> </w:t>
      </w:r>
      <w:r>
        <w:t xml:space="preserve">US</w:t>
      </w:r>
      <w:r>
        <w:t xml:space="preserve"> </w:t>
      </w:r>
      <w:r>
        <w:t xml:space="preserve">Healthcare Regulations.”</w:t>
      </w:r>
    </w:p>
    <w:bookmarkEnd w:id="56"/>
    <w:bookmarkStart w:id="58" w:name="ref-gebreslassie2023fhir4fair"/>
    <w:p>
      <w:pPr>
        <w:pStyle w:val="Bibliography"/>
      </w:pPr>
      <w:r>
        <w:t xml:space="preserve">Gebreslassie, Tesfit Gebremeskel, Mirjam van Reisen, Samson Yohannes Amare, Getu Tadele Taye, and Ruduan Plug. 2023.</w:t>
      </w:r>
      <w:r>
        <w:t xml:space="preserve"> </w:t>
      </w:r>
      <w:r>
        <w:t xml:space="preserve">“</w:t>
      </w:r>
      <w:r>
        <w:t xml:space="preserve">FHIR4FAIR</w:t>
      </w:r>
      <w:r>
        <w:t xml:space="preserve">:</w:t>
      </w:r>
      <w:r>
        <w:t xml:space="preserve"> </w:t>
      </w:r>
      <w:r>
        <w:t xml:space="preserve">Leveraging FHIR</w:t>
      </w:r>
      <w:r>
        <w:t xml:space="preserve"> </w:t>
      </w:r>
      <w:r>
        <w:t xml:space="preserve">in Health Data</w:t>
      </w:r>
      <w:r>
        <w:t xml:space="preserve"> </w:t>
      </w:r>
      <w:r>
        <w:t xml:space="preserve">FAIRfication</w:t>
      </w:r>
      <w:r>
        <w:t xml:space="preserve"> </w:t>
      </w:r>
      <w:r>
        <w:t xml:space="preserve">Process:</w:t>
      </w:r>
      <w:r>
        <w:t xml:space="preserve"> </w:t>
      </w:r>
      <w:r>
        <w:t xml:space="preserve">In</w:t>
      </w:r>
      <w:r>
        <w:t xml:space="preserve"> </w:t>
      </w:r>
      <w:r>
        <w:t xml:space="preserve">the Case of</w:t>
      </w:r>
      <w:r>
        <w:t xml:space="preserve"> </w:t>
      </w:r>
      <w:r>
        <w:t xml:space="preserve">VODAN-A</w:t>
      </w:r>
      <w:r>
        <w:t xml:space="preserve">.”</w:t>
      </w:r>
      <w:r>
        <w:t xml:space="preserve"> </w:t>
      </w:r>
      <w:r>
        <w:rPr>
          <w:iCs/>
          <w:i/>
        </w:rPr>
        <w:t xml:space="preserve">FAIR Connect</w:t>
      </w:r>
      <w:r>
        <w:t xml:space="preserve"> </w:t>
      </w:r>
      <w:r>
        <w:t xml:space="preserve">1 (1): 49–54.</w:t>
      </w:r>
      <w:r>
        <w:t xml:space="preserve"> </w:t>
      </w:r>
      <w:hyperlink r:id="rId57">
        <w:r>
          <w:rPr>
            <w:rStyle w:val="Hyperlink"/>
          </w:rPr>
          <w:t xml:space="preserve">https://doi.org/10.3233/FC-230504</w:t>
        </w:r>
      </w:hyperlink>
      <w:r>
        <w:t xml:space="preserve">.</w:t>
      </w:r>
    </w:p>
    <w:bookmarkEnd w:id="58"/>
    <w:bookmarkStart w:id="60" w:name="ref-gruendner2019ketos"/>
    <w:p>
      <w:pPr>
        <w:pStyle w:val="Bibliography"/>
      </w:pPr>
      <w:r>
        <w:t xml:space="preserve">Gruendner, Julian, Thorsten Schwachhofer, Phillip Sippl, Nicolas Wolf, Marcel Erpenbeck, Christian Gulden, Lorenz A. Kapsner, et al. 2019.</w:t>
      </w:r>
      <w:r>
        <w:t xml:space="preserve"> </w:t>
      </w:r>
      <w:r>
        <w:t xml:space="preserve">“</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w:t>
      </w:r>
      <w:r>
        <w:t xml:space="preserve">14 (10): e0223010.</w:t>
      </w:r>
      <w:r>
        <w:t xml:space="preserve"> </w:t>
      </w:r>
      <w:hyperlink r:id="rId59">
        <w:r>
          <w:rPr>
            <w:rStyle w:val="Hyperlink"/>
          </w:rPr>
          <w:t xml:space="preserve">https://doi.org/10.1371/journal.pone.0223010</w:t>
        </w:r>
      </w:hyperlink>
      <w:r>
        <w:t xml:space="preserve">.</w:t>
      </w:r>
    </w:p>
    <w:bookmarkEnd w:id="60"/>
    <w:bookmarkStart w:id="62" w:name="ref-hai2023data"/>
    <w:p>
      <w:pPr>
        <w:pStyle w:val="Bibliography"/>
      </w:pPr>
      <w:r>
        <w:t xml:space="preserve">Hai, Rihan, Christos Koutras, Christoph Quix, and Matthias Jarke. 2023.</w:t>
      </w:r>
      <w:r>
        <w:t xml:space="preserve"> </w:t>
      </w:r>
      <w:r>
        <w:t xml:space="preserve">“Data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w:t>
      </w:r>
      <w:r>
        <w:t xml:space="preserve">35 (12): 12571–90.</w:t>
      </w:r>
      <w:r>
        <w:t xml:space="preserve"> </w:t>
      </w:r>
      <w:hyperlink r:id="rId61">
        <w:r>
          <w:rPr>
            <w:rStyle w:val="Hyperlink"/>
          </w:rPr>
          <w:t xml:space="preserve">https://doi.org/10.1109/TKDE.2023.3270101</w:t>
        </w:r>
      </w:hyperlink>
      <w:r>
        <w:t xml:space="preserve">.</w:t>
      </w:r>
    </w:p>
    <w:bookmarkEnd w:id="62"/>
    <w:bookmarkStart w:id="64" w:name="ref-harby2022data"/>
    <w:p>
      <w:pPr>
        <w:pStyle w:val="Bibliography"/>
      </w:pPr>
      <w:r>
        <w:t xml:space="preserve">Harby, Ahmed A., and Farhana Zulkernine. 2022.</w:t>
      </w:r>
      <w:r>
        <w:t xml:space="preserve"> </w:t>
      </w:r>
      <w:r>
        <w:t xml:space="preserve">“From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w:t>
      </w:r>
      <w:r>
        <w:t xml:space="preserve"> </w:t>
      </w:r>
      <w:r>
        <w:t xml:space="preserve">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389–95. Osaka, Japan: IEEE.</w:t>
      </w:r>
      <w:r>
        <w:t xml:space="preserve"> </w:t>
      </w:r>
      <w:hyperlink r:id="rId63">
        <w:r>
          <w:rPr>
            <w:rStyle w:val="Hyperlink"/>
          </w:rPr>
          <w:t xml:space="preserve">https://doi.org/10.1109/BigData55660.2022.10020719</w:t>
        </w:r>
      </w:hyperlink>
      <w:r>
        <w:t xml:space="preserve">.</w:t>
      </w:r>
    </w:p>
    <w:bookmarkEnd w:id="64"/>
    <w:bookmarkStart w:id="66" w:name="ref-harby2024data"/>
    <w:p>
      <w:pPr>
        <w:pStyle w:val="Bibliography"/>
      </w:pPr>
      <w:r>
        <w:t xml:space="preserve">———. 2024.</w:t>
      </w:r>
      <w:r>
        <w:t xml:space="preserve"> </w:t>
      </w:r>
      <w:r>
        <w:t xml:space="preserve">“Data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w:t>
      </w:r>
      <w:r>
        <w:t xml:space="preserve"> </w:t>
      </w:r>
      <w:r>
        <w:t xml:space="preserve">{{SSRN Scholarly Paper}}. Rochester, NY.</w:t>
      </w:r>
      <w:r>
        <w:t xml:space="preserve"> </w:t>
      </w:r>
      <w:hyperlink r:id="rId65">
        <w:r>
          <w:rPr>
            <w:rStyle w:val="Hyperlink"/>
          </w:rPr>
          <w:t xml:space="preserve">https://doi.org/10.2139/ssrn.4765588</w:t>
        </w:r>
      </w:hyperlink>
      <w:r>
        <w:t xml:space="preserve">.</w:t>
      </w:r>
    </w:p>
    <w:bookmarkEnd w:id="66"/>
    <w:bookmarkStart w:id="67" w:name="ref-hcx"/>
    <w:p>
      <w:pPr>
        <w:pStyle w:val="Bibliography"/>
      </w:pPr>
      <w:r>
        <w:t xml:space="preserve">“</w:t>
      </w:r>
      <w:r>
        <w:t xml:space="preserve">HCX Protocol</w:t>
      </w:r>
      <w:r>
        <w:t xml:space="preserve"> </w:t>
      </w:r>
      <w:r>
        <w:t xml:space="preserve">V0.9.”</w:t>
      </w:r>
      <w:r>
        <w:t xml:space="preserve"> </w:t>
      </w:r>
      <w:r>
        <w:t xml:space="preserve">2023.</w:t>
      </w:r>
    </w:p>
    <w:bookmarkEnd w:id="67"/>
    <w:bookmarkStart w:id="68" w:name="ref-healthri2024agreements"/>
    <w:p>
      <w:pPr>
        <w:pStyle w:val="Bibliography"/>
      </w:pPr>
      <w:r>
        <w:t xml:space="preserve">Health-RI. 2024.</w:t>
      </w:r>
      <w:r>
        <w:t xml:space="preserve"> </w:t>
      </w:r>
      <w:r>
        <w:t xml:space="preserve">“Agreements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w:t>
      </w:r>
      <w:r>
        <w:t xml:space="preserve"> </w:t>
      </w:r>
      <w:r>
        <w:t xml:space="preserve">Wiki. https://health-ri.atlassian.net/wiki/spaces/HNG/pages/249073646/Agreements+on+the+National+Health+Data+Infrastructure+for+Research+Policy+and+Innovation.</w:t>
      </w:r>
    </w:p>
    <w:bookmarkEnd w:id="68"/>
    <w:bookmarkStart w:id="70" w:name="ref-jones2021landscape"/>
    <w:p>
      <w:pPr>
        <w:pStyle w:val="Bibliography"/>
      </w:pPr>
      <w:r>
        <w:t xml:space="preserve">Jones, James, Daniel Gottlieb, Joshua C Mandel, Vladimir Ignatov, Alyssa Ellis, Wayne Kubick, and Kenneth D Mandl. 2021.</w:t>
      </w:r>
      <w:r>
        <w:t xml:space="preserve"> </w:t>
      </w:r>
      <w:r>
        <w:t xml:space="preserve">“A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w:t>
      </w:r>
      <w:r>
        <w:t xml:space="preserve">28 (6): 1284–87.</w:t>
      </w:r>
      <w:r>
        <w:t xml:space="preserve"> </w:t>
      </w:r>
      <w:hyperlink r:id="rId69">
        <w:r>
          <w:rPr>
            <w:rStyle w:val="Hyperlink"/>
          </w:rPr>
          <w:t xml:space="preserve">https://doi.org/10.1093/jamia/ocab028</w:t>
        </w:r>
      </w:hyperlink>
      <w:r>
        <w:t xml:space="preserve">.</w:t>
      </w:r>
    </w:p>
    <w:bookmarkEnd w:id="70"/>
    <w:bookmarkStart w:id="71" w:name="ref-keller2021paradox"/>
    <w:p>
      <w:pPr>
        <w:pStyle w:val="Bibliography"/>
      </w:pPr>
      <w:r>
        <w:t xml:space="preserve">Keller, Paul, and Alek Tarkowski. 2021.</w:t>
      </w:r>
      <w:r>
        <w:t xml:space="preserve"> </w:t>
      </w:r>
      <w:r>
        <w:t xml:space="preserve">“The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March.</w:t>
      </w:r>
    </w:p>
    <w:bookmarkEnd w:id="71"/>
    <w:bookmarkStart w:id="73" w:name="ref-khalid2021standardized"/>
    <w:p>
      <w:pPr>
        <w:pStyle w:val="Bibliography"/>
      </w:pPr>
      <w:r>
        <w:t xml:space="preserve">Khalid, Sara, Cynthia Yang, Clair Blacketer, Talita Duarte-Salles, Sergio Fernández-Bertolín, Chungsoo Kim, Rae Woong Park, et al. 2021.</w:t>
      </w:r>
      <w:r>
        <w:t xml:space="preserve"> </w:t>
      </w:r>
      <w:r>
        <w:t xml:space="preserve">“A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w:t>
      </w:r>
      <w:r>
        <w:t xml:space="preserve">211 (November): 106394.</w:t>
      </w:r>
      <w:r>
        <w:t xml:space="preserve"> </w:t>
      </w:r>
      <w:hyperlink r:id="rId72">
        <w:r>
          <w:rPr>
            <w:rStyle w:val="Hyperlink"/>
          </w:rPr>
          <w:t xml:space="preserve">https://doi.org/10.1016/j.cmpb.2021.106394</w:t>
        </w:r>
      </w:hyperlink>
      <w:r>
        <w:t xml:space="preserve">.</w:t>
      </w:r>
    </w:p>
    <w:bookmarkEnd w:id="73"/>
    <w:bookmarkStart w:id="75" w:name="ref-kroes2022blueprint"/>
    <w:p>
      <w:pPr>
        <w:pStyle w:val="Bibliography"/>
      </w:pPr>
      <w:r>
        <w:t xml:space="preserve">Kroes, Johannes A., Aruna T. Bansal, Emmanuelle Berret, Nils Christian, Andreas Kremer, Anna Alloni, Matteo Gabetta, et al. 2022.</w:t>
      </w:r>
      <w:r>
        <w:t xml:space="preserve"> </w:t>
      </w:r>
      <w:r>
        <w:t xml:space="preserve">“Blueprint for Harmonising Unstandardised Disease Registries to Allow Federated Data Analysis: Prepare for the Future.”</w:t>
      </w:r>
      <w:r>
        <w:t xml:space="preserve"> </w:t>
      </w:r>
      <w:r>
        <w:rPr>
          <w:iCs/>
          <w:i/>
        </w:rPr>
        <w:t xml:space="preserve">ERJ Open Research</w:t>
      </w:r>
      <w:r>
        <w:t xml:space="preserve"> </w:t>
      </w:r>
      <w:r>
        <w:t xml:space="preserve">8 (4).</w:t>
      </w:r>
      <w:r>
        <w:t xml:space="preserve"> </w:t>
      </w:r>
      <w:hyperlink r:id="rId74">
        <w:r>
          <w:rPr>
            <w:rStyle w:val="Hyperlink"/>
          </w:rPr>
          <w:t xml:space="preserve">https://doi.org/10.1183/23120541.00168-2022</w:t>
        </w:r>
      </w:hyperlink>
      <w:r>
        <w:t xml:space="preserve">.</w:t>
      </w:r>
    </w:p>
    <w:bookmarkEnd w:id="75"/>
    <w:bookmarkStart w:id="76" w:name="ref-lee2022feedernet"/>
    <w:p>
      <w:pPr>
        <w:pStyle w:val="Bibliography"/>
      </w:pPr>
      <w:r>
        <w:t xml:space="preserve">Lee, Seongwon, Chungsoo Kim, Junyuk Chang, and Rae Woong Park. 2022.</w:t>
      </w:r>
      <w:r>
        <w:t xml:space="preserve"> </w:t>
      </w:r>
      <w:r>
        <w:t xml:space="preserve">“</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w:t>
      </w:r>
    </w:p>
    <w:bookmarkEnd w:id="76"/>
    <w:bookmarkStart w:id="78" w:name="ref-mamuye2022health"/>
    <w:p>
      <w:pPr>
        <w:pStyle w:val="Bibliography"/>
      </w:pPr>
      <w:r>
        <w:t xml:space="preserve">Mamuye, Adane L., Tesfahun M. Yilma, Ahmad Abdulwahab, Sean Broomhead, Phumzule Zondo, Mercy Kyeng, Justin Maeda, Mohammed Abdulaziz, Tadesse Wuhib, and Binyam C. Tilahun. 2022.</w:t>
      </w:r>
      <w:r>
        <w:t xml:space="preserve"> </w:t>
      </w:r>
      <w:r>
        <w:t xml:space="preserve">“Health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w:t>
      </w:r>
      <w:r>
        <w:t xml:space="preserve">1 (10): e0000118.</w:t>
      </w:r>
      <w:r>
        <w:t xml:space="preserve"> </w:t>
      </w:r>
      <w:hyperlink r:id="rId77">
        <w:r>
          <w:rPr>
            <w:rStyle w:val="Hyperlink"/>
          </w:rPr>
          <w:t xml:space="preserve">https://doi.org/10.1371/journal.pdig.0000118</w:t>
        </w:r>
      </w:hyperlink>
      <w:r>
        <w:t xml:space="preserve">.</w:t>
      </w:r>
    </w:p>
    <w:bookmarkEnd w:id="78"/>
    <w:bookmarkStart w:id="80" w:name="ref-mandl2020push"/>
    <w:p>
      <w:pPr>
        <w:pStyle w:val="Bibliography"/>
      </w:pPr>
      <w:r>
        <w:t xml:space="preserve">Mandl, Kenneth D., Daniel Gottlieb, Joshua C. Mandel, Vladimir Ignatov, Raheel Sayeed, Grahame Grieve, James Jones, Alyssa Ellis, and Adam Culbertson. 2020.</w:t>
      </w:r>
      <w:r>
        <w:t xml:space="preserve"> </w:t>
      </w:r>
      <w:r>
        <w:t xml:space="preserve">“Push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w:t>
      </w:r>
      <w:r>
        <w:t xml:space="preserve">3 (1): 1–9.</w:t>
      </w:r>
      <w:r>
        <w:t xml:space="preserve"> </w:t>
      </w:r>
      <w:hyperlink r:id="rId79">
        <w:r>
          <w:rPr>
            <w:rStyle w:val="Hyperlink"/>
          </w:rPr>
          <w:t xml:space="preserve">https://doi.org/10.1038/s41746-020-00358-4</w:t>
        </w:r>
      </w:hyperlink>
      <w:r>
        <w:t xml:space="preserve">.</w:t>
      </w:r>
    </w:p>
    <w:bookmarkEnd w:id="80"/>
    <w:bookmarkStart w:id="82" w:name="ref-mateus2024data"/>
    <w:p>
      <w:pPr>
        <w:pStyle w:val="Bibliography"/>
      </w:pPr>
      <w:r>
        <w:t xml:space="preserve">Mateus, Pedro, Justine Moonen, Magdalena Beran, Eva Jaarsma, Sophie M. van der Landen, Joost Heuvelink, Mahlet Birhanu, et al. 2024.</w:t>
      </w:r>
      <w:r>
        <w:t xml:space="preserve"> </w:t>
      </w:r>
      <w:r>
        <w:t xml:space="preserve">“Data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w:t>
      </w:r>
      <w:r>
        <w:t xml:space="preserve">155 (July): 104661.</w:t>
      </w:r>
      <w:r>
        <w:t xml:space="preserve"> </w:t>
      </w:r>
      <w:hyperlink r:id="rId81">
        <w:r>
          <w:rPr>
            <w:rStyle w:val="Hyperlink"/>
          </w:rPr>
          <w:t xml:space="preserve">https://doi.org/10.1016/j.jbi.2024.104661</w:t>
        </w:r>
      </w:hyperlink>
      <w:r>
        <w:t xml:space="preserve">.</w:t>
      </w:r>
    </w:p>
    <w:bookmarkEnd w:id="82"/>
    <w:bookmarkStart w:id="84" w:name="ref-mehl2023fullstac"/>
    <w:p>
      <w:pPr>
        <w:pStyle w:val="Bibliography"/>
      </w:pPr>
      <w:r>
        <w:t xml:space="preserve">Mehl, Garrett L, Martin G Seneviratne, Matt L Berg, Suhel Bidani, Rebecca L Distler, Marelize Gorgens, Karin E Kallander, et al. 2023.</w:t>
      </w:r>
      <w:r>
        <w:t xml:space="preserve"> </w:t>
      </w:r>
      <w:r>
        <w:t xml:space="preserve">“A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w:t>
      </w:r>
      <w:r>
        <w:t xml:space="preserve">1 (January): oqad018.</w:t>
      </w:r>
      <w:r>
        <w:t xml:space="preserve"> </w:t>
      </w:r>
      <w:hyperlink r:id="rId83">
        <w:r>
          <w:rPr>
            <w:rStyle w:val="Hyperlink"/>
          </w:rPr>
          <w:t xml:space="preserve">https://doi.org/10.1093/oodh/oqad018</w:t>
        </w:r>
      </w:hyperlink>
      <w:r>
        <w:t xml:space="preserve">.</w:t>
      </w:r>
    </w:p>
    <w:bookmarkEnd w:id="84"/>
    <w:bookmarkStart w:id="86" w:name="ref-mullie2023coda"/>
    <w:p>
      <w:pPr>
        <w:pStyle w:val="Bibliography"/>
      </w:pPr>
      <w:r>
        <w:t xml:space="preserve">Mullie, Louis, Jonathan Afilalo, Patrick Archambault, Rima Bouchakri, Kip Brown, David L Buckeridge, Yiorgos Alexandros Cavayas, et al. 2023.</w:t>
      </w:r>
      <w:r>
        <w:t xml:space="preserve"> </w:t>
      </w:r>
      <w:r>
        <w:t xml:space="preserve">“</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December, ocad235.</w:t>
      </w:r>
      <w:r>
        <w:t xml:space="preserve"> </w:t>
      </w:r>
      <w:hyperlink r:id="rId85">
        <w:r>
          <w:rPr>
            <w:rStyle w:val="Hyperlink"/>
          </w:rPr>
          <w:t xml:space="preserve">https://doi.org/10.1093/jamia/ocad235</w:t>
        </w:r>
      </w:hyperlink>
      <w:r>
        <w:t xml:space="preserve">.</w:t>
      </w:r>
    </w:p>
    <w:bookmarkEnd w:id="86"/>
    <w:bookmarkStart w:id="87" w:name="ref-india2020national"/>
    <w:p>
      <w:pPr>
        <w:pStyle w:val="Bibliography"/>
      </w:pPr>
      <w:r>
        <w:t xml:space="preserve">“National</w:t>
      </w:r>
      <w:r>
        <w:t xml:space="preserve"> </w:t>
      </w:r>
      <w:r>
        <w:t xml:space="preserve">Digital Health Mission</w:t>
      </w:r>
      <w:r>
        <w:t xml:space="preserve">.”</w:t>
      </w:r>
      <w:r>
        <w:t xml:space="preserve"> </w:t>
      </w:r>
      <w:r>
        <w:t xml:space="preserve">2020. India National Health Authority.</w:t>
      </w:r>
    </w:p>
    <w:bookmarkEnd w:id="87"/>
    <w:bookmarkStart w:id="89" w:name="ref-nsaghurwe2021one"/>
    <w:p>
      <w:pPr>
        <w:pStyle w:val="Bibliography"/>
      </w:pPr>
      <w:r>
        <w:t xml:space="preserve">Nsaghurwe, Alpha, Vikas Dwivedi, Walter Ndesanjo, Haji Bamsi, Moses Busiga, Edwin Nyella, Japhet Victor Massawe, et al. 2021.</w:t>
      </w:r>
      <w:r>
        <w:t xml:space="preserve"> </w:t>
      </w:r>
      <w:r>
        <w:t xml:space="preserve">“One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w:t>
      </w:r>
      <w:r>
        <w:t xml:space="preserve">21 (1): 139.</w:t>
      </w:r>
      <w:r>
        <w:t xml:space="preserve"> </w:t>
      </w:r>
      <w:hyperlink r:id="rId88">
        <w:r>
          <w:rPr>
            <w:rStyle w:val="Hyperlink"/>
          </w:rPr>
          <w:t xml:space="preserve">https://doi.org/10.1186/s12911-021-01499-6</w:t>
        </w:r>
      </w:hyperlink>
      <w:r>
        <w:t xml:space="preserve">.</w:t>
      </w:r>
    </w:p>
    <w:bookmarkEnd w:id="89"/>
    <w:bookmarkStart w:id="90" w:name="ref-ohie2023unconference"/>
    <w:p>
      <w:pPr>
        <w:pStyle w:val="Bibliography"/>
      </w:pPr>
      <w:r>
        <w:t xml:space="preserve">“</w:t>
      </w:r>
      <w:r>
        <w:t xml:space="preserve">OHIE23 Unconference</w:t>
      </w:r>
      <w:r>
        <w:t xml:space="preserve"> </w:t>
      </w:r>
      <w:r>
        <w:t xml:space="preserve">101.”</w:t>
      </w:r>
      <w:r>
        <w:t xml:space="preserve"> </w:t>
      </w:r>
      <w:r>
        <w:t xml:space="preserve">2023.</w:t>
      </w:r>
    </w:p>
    <w:bookmarkEnd w:id="90"/>
    <w:bookmarkStart w:id="91" w:name="ref-openhie"/>
    <w:p>
      <w:pPr>
        <w:pStyle w:val="Bibliography"/>
      </w:pPr>
      <w:r>
        <w:t xml:space="preserve">“</w:t>
      </w:r>
      <w:r>
        <w:t xml:space="preserve">OpenHIE Framework</w:t>
      </w:r>
      <w:r>
        <w:t xml:space="preserve"> </w:t>
      </w:r>
      <w:r>
        <w:t xml:space="preserve">V5.0.”</w:t>
      </w:r>
      <w:r>
        <w:t xml:space="preserve"> </w:t>
      </w:r>
      <w:r>
        <w:t xml:space="preserve">2022.</w:t>
      </w:r>
      <w:r>
        <w:t xml:space="preserve"> </w:t>
      </w:r>
      <w:r>
        <w:rPr>
          <w:iCs/>
          <w:i/>
        </w:rPr>
        <w:t xml:space="preserve">OpenHIE</w:t>
      </w:r>
      <w:r>
        <w:t xml:space="preserve">. https://ohie.org/.</w:t>
      </w:r>
    </w:p>
    <w:bookmarkEnd w:id="91"/>
    <w:bookmarkStart w:id="93" w:name="ref-pedreira2023composable"/>
    <w:p>
      <w:pPr>
        <w:pStyle w:val="Bibliography"/>
      </w:pPr>
      <w:r>
        <w:t xml:space="preserve">Pedreira, Pedro, Orri Erling, Konstantinos Karanasos, Scott Schneider, Wes McKinney, Satya R Valluri, Mohamed Zait, and Jacques Nadeau. 2023.</w:t>
      </w:r>
      <w:r>
        <w:t xml:space="preserve"> </w:t>
      </w:r>
      <w:r>
        <w:t xml:space="preserve">“The</w:t>
      </w:r>
      <w:r>
        <w:t xml:space="preserve"> </w:t>
      </w:r>
      <w:r>
        <w:t xml:space="preserve">Composable Data Management System Manifesto</w:t>
      </w:r>
      <w:r>
        <w:t xml:space="preserve">.”</w:t>
      </w:r>
      <w:r>
        <w:t xml:space="preserve"> </w:t>
      </w:r>
      <w:r>
        <w:rPr>
          <w:iCs/>
          <w:i/>
        </w:rPr>
        <w:t xml:space="preserve">Proceedings of the VLDB Endowment</w:t>
      </w:r>
      <w:r>
        <w:t xml:space="preserve"> </w:t>
      </w:r>
      <w:r>
        <w:t xml:space="preserve">16 (10): 2679–85.</w:t>
      </w:r>
      <w:r>
        <w:t xml:space="preserve"> </w:t>
      </w:r>
      <w:hyperlink r:id="rId92">
        <w:r>
          <w:rPr>
            <w:rStyle w:val="Hyperlink"/>
          </w:rPr>
          <w:t xml:space="preserve">https://doi.org/10.14778/3603581.3603604</w:t>
        </w:r>
      </w:hyperlink>
      <w:r>
        <w:t xml:space="preserve">.</w:t>
      </w:r>
    </w:p>
    <w:bookmarkEnd w:id="93"/>
    <w:bookmarkStart w:id="95" w:name="ref-peng2023etlprocess"/>
    <w:p>
      <w:pPr>
        <w:pStyle w:val="Bibliography"/>
      </w:pPr>
      <w:r>
        <w:t xml:space="preserve">Peng, Yuan, Elisa Henke, Ines Reinecke, Michéle Zoch, Martin Sedlmayr, and Franziska Bathelt. 2023.</w:t>
      </w:r>
      <w:r>
        <w:t xml:space="preserve"> </w:t>
      </w:r>
      <w:r>
        <w:t xml:space="preserve">“An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w:t>
      </w:r>
      <w:r>
        <w:t xml:space="preserve">169 (January): 104925.</w:t>
      </w:r>
      <w:r>
        <w:t xml:space="preserve"> </w:t>
      </w:r>
      <w:hyperlink r:id="rId94">
        <w:r>
          <w:rPr>
            <w:rStyle w:val="Hyperlink"/>
          </w:rPr>
          <w:t xml:space="preserve">https://doi.org/10.1016/j.ijmedinf.2022.104925</w:t>
        </w:r>
      </w:hyperlink>
      <w:r>
        <w:t xml:space="preserve">.</w:t>
      </w:r>
    </w:p>
    <w:bookmarkEnd w:id="95"/>
    <w:bookmarkStart w:id="97" w:name="ref-reynolds2011open"/>
    <w:p>
      <w:pPr>
        <w:pStyle w:val="Bibliography"/>
      </w:pPr>
      <w:r>
        <w:t xml:space="preserve">Reynolds, Carl J., and Jeremy C. Wyatt. 2011.</w:t>
      </w:r>
      <w:r>
        <w:t xml:space="preserve"> </w:t>
      </w:r>
      <w:r>
        <w:t xml:space="preserve">“Open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w:t>
      </w:r>
      <w:r>
        <w:t xml:space="preserve">13 (1): e1521.</w:t>
      </w:r>
      <w:r>
        <w:t xml:space="preserve"> </w:t>
      </w:r>
      <w:hyperlink r:id="rId96">
        <w:r>
          <w:rPr>
            <w:rStyle w:val="Hyperlink"/>
          </w:rPr>
          <w:t xml:space="preserve">https://doi.org/10.2196/jmir.1521</w:t>
        </w:r>
      </w:hyperlink>
      <w:r>
        <w:t xml:space="preserve">.</w:t>
      </w:r>
    </w:p>
    <w:bookmarkEnd w:id="97"/>
    <w:bookmarkStart w:id="99" w:name="ref-rieke2020future"/>
    <w:p>
      <w:pPr>
        <w:pStyle w:val="Bibliography"/>
      </w:pPr>
      <w:r>
        <w:t xml:space="preserve">Rieke, Nicola, Jonny Hancox, Wenqi Li, Fausto Milletarì, Holger R. Roth, Shadi Albarqouni, Spyridon Bakas, et al. 2020.</w:t>
      </w:r>
      <w:r>
        <w:t xml:space="preserve"> </w:t>
      </w:r>
      <w:r>
        <w:t xml:space="preserve">“The Future of Digital Health with Federated Learning.”</w:t>
      </w:r>
      <w:r>
        <w:t xml:space="preserve"> </w:t>
      </w:r>
      <w:r>
        <w:rPr>
          <w:iCs/>
          <w:i/>
        </w:rPr>
        <w:t xml:space="preserve">Npj Digital Medicine</w:t>
      </w:r>
      <w:r>
        <w:t xml:space="preserve"> </w:t>
      </w:r>
      <w:r>
        <w:t xml:space="preserve">3 (1): 1–7.</w:t>
      </w:r>
      <w:r>
        <w:t xml:space="preserve"> </w:t>
      </w:r>
      <w:hyperlink r:id="rId98">
        <w:r>
          <w:rPr>
            <w:rStyle w:val="Hyperlink"/>
          </w:rPr>
          <w:t xml:space="preserve">https://doi.org/10.1038/s41746-020-00323-1</w:t>
        </w:r>
      </w:hyperlink>
      <w:r>
        <w:t xml:space="preserve">.</w:t>
      </w:r>
    </w:p>
    <w:bookmarkEnd w:id="99"/>
    <w:bookmarkStart w:id="101" w:name="ref-sinaci2024privacypreserving"/>
    <w:p>
      <w:pPr>
        <w:pStyle w:val="Bibliography"/>
      </w:pPr>
      <w:r>
        <w:t xml:space="preserve">Sinaci, A. Anil, Mert Gencturk, Celia Alvarez-Romero, Gokce Banu Laleci Erturkmen, Alicia Martinez-Garcia, María José Escalona-Cuaresma, and Carlos Luis Parra-Calderon. 2024.</w:t>
      </w:r>
      <w:r>
        <w:t xml:space="preserve"> </w:t>
      </w:r>
      <w:r>
        <w:t xml:space="preserve">“Privacy-Preserving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w:t>
      </w:r>
      <w:r>
        <w:t xml:space="preserve">24 (December): 136–45.</w:t>
      </w:r>
      <w:r>
        <w:t xml:space="preserve"> </w:t>
      </w:r>
      <w:hyperlink r:id="rId100">
        <w:r>
          <w:rPr>
            <w:rStyle w:val="Hyperlink"/>
          </w:rPr>
          <w:t xml:space="preserve">https://doi.org/10.1016/j.csbj.2024.02.014</w:t>
        </w:r>
      </w:hyperlink>
      <w:r>
        <w:t xml:space="preserve">.</w:t>
      </w:r>
    </w:p>
    <w:bookmarkEnd w:id="101"/>
    <w:bookmarkStart w:id="103" w:name="ref-smits2022improved"/>
    <w:p>
      <w:pPr>
        <w:pStyle w:val="Bibliography"/>
      </w:pPr>
      <w:r>
        <w:t xml:space="preserve">Smits, Djura, Bart Van Beusekom, Frank Martin, Lourens Veen, Gijs Geleijnse, and Arturo Moncada-Torres. 2022.</w:t>
      </w:r>
      <w:r>
        <w:t xml:space="preserve"> </w:t>
      </w:r>
      <w:r>
        <w:t xml:space="preserve">“An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w:t>
      </w:r>
      <w:r>
        <w:t xml:space="preserve"> </w:t>
      </w:r>
      <w:r>
        <w:t xml:space="preserve">In</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edited by John Mantas, Parisis Gallos, Emmanouil Zoulias, Arie Hasman, Mowafa S. Househ, Marianna Diomidous, Joseph Liaskos, and Martha Charalampidou. IOS Press.</w:t>
      </w:r>
      <w:r>
        <w:t xml:space="preserve"> </w:t>
      </w:r>
      <w:hyperlink r:id="rId102">
        <w:r>
          <w:rPr>
            <w:rStyle w:val="Hyperlink"/>
          </w:rPr>
          <w:t xml:space="preserve">https://doi.org/10.3233/SHTI220682</w:t>
        </w:r>
      </w:hyperlink>
      <w:r>
        <w:t xml:space="preserve">.</w:t>
      </w:r>
    </w:p>
    <w:bookmarkEnd w:id="103"/>
    <w:bookmarkStart w:id="105" w:name="ref-syzdykova2017opensource"/>
    <w:p>
      <w:pPr>
        <w:pStyle w:val="Bibliography"/>
      </w:pPr>
      <w:r>
        <w:t xml:space="preserve">Syzdykova, Assel, André Malta, Maria Zolfo, Ermias Diro, and José Luis Oliveira. 2017.</w:t>
      </w:r>
      <w:r>
        <w:t xml:space="preserve"> </w:t>
      </w:r>
      <w:r>
        <w:t xml:space="preserve">“Open-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w:t>
      </w:r>
      <w:r>
        <w:t xml:space="preserve">5 (4): e44.</w:t>
      </w:r>
      <w:r>
        <w:t xml:space="preserve"> </w:t>
      </w:r>
      <w:hyperlink r:id="rId104">
        <w:r>
          <w:rPr>
            <w:rStyle w:val="Hyperlink"/>
          </w:rPr>
          <w:t xml:space="preserve">https://doi.org/10.2196/medinform.8131</w:t>
        </w:r>
      </w:hyperlink>
      <w:r>
        <w:t xml:space="preserve">.</w:t>
      </w:r>
    </w:p>
    <w:bookmarkEnd w:id="105"/>
    <w:bookmarkStart w:id="107" w:name="ref-teo2024federated"/>
    <w:p>
      <w:pPr>
        <w:pStyle w:val="Bibliography"/>
      </w:pPr>
      <w:r>
        <w:t xml:space="preserve">Teo, Zhen Ling, Liyuan Jin, Nan Liu, Siqi Li, Di Miao, Xiaoman Zhang, Wei Yan Ng, et al. 2024.</w:t>
      </w:r>
      <w:r>
        <w:t xml:space="preserve"> </w:t>
      </w:r>
      <w:r>
        <w:t xml:space="preserve">“Federated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w:t>
      </w:r>
      <w:r>
        <w:t xml:space="preserve">5 (2): 101419.</w:t>
      </w:r>
      <w:r>
        <w:t xml:space="preserve"> </w:t>
      </w:r>
      <w:hyperlink r:id="rId106">
        <w:r>
          <w:rPr>
            <w:rStyle w:val="Hyperlink"/>
          </w:rPr>
          <w:t xml:space="preserve">https://doi.org/10.1016/j.xcrm.2024.101419</w:t>
        </w:r>
      </w:hyperlink>
      <w:r>
        <w:t xml:space="preserve">.</w:t>
      </w:r>
    </w:p>
    <w:bookmarkEnd w:id="107"/>
    <w:bookmarkStart w:id="108" w:name="ref-thaiya2021adoption"/>
    <w:p>
      <w:pPr>
        <w:pStyle w:val="Bibliography"/>
      </w:pPr>
      <w:r>
        <w:t xml:space="preserve">Thaiya, Mbugua Samuel, Korongo Julia, Mutai Joram, Masese Benard, and Dr Alice Nambiro. 2021.</w:t>
      </w:r>
      <w:r>
        <w:t xml:space="preserve"> </w:t>
      </w:r>
      <w:r>
        <w:t xml:space="preserve">“Adoption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t xml:space="preserve">March.</w:t>
      </w:r>
    </w:p>
    <w:bookmarkEnd w:id="108"/>
    <w:bookmarkStart w:id="109" w:name="ref-tilahun2023african"/>
    <w:p>
      <w:pPr>
        <w:pStyle w:val="Bibliography"/>
      </w:pPr>
      <w:r>
        <w:t xml:space="preserve">Tilahun, Binyam, Adane Mamuye, Tesfahun Yilma, and Yasser Shehata. 2023.</w:t>
      </w:r>
      <w:r>
        <w:t xml:space="preserve"> </w:t>
      </w:r>
      <w:r>
        <w:t xml:space="preserve">“African</w:t>
      </w:r>
      <w:r>
        <w:t xml:space="preserve"> </w:t>
      </w:r>
      <w:r>
        <w:t xml:space="preserve">Union Health Information Exchange Guidelines</w:t>
      </w:r>
      <w:r>
        <w:t xml:space="preserve"> </w:t>
      </w:r>
      <w:r>
        <w:t xml:space="preserve">and</w:t>
      </w:r>
      <w:r>
        <w:t xml:space="preserve"> </w:t>
      </w:r>
      <w:r>
        <w:t xml:space="preserve">Standards</w:t>
      </w:r>
      <w:r>
        <w:t xml:space="preserve">.”</w:t>
      </w:r>
    </w:p>
    <w:bookmarkEnd w:id="109"/>
    <w:bookmarkStart w:id="110" w:name="ref-tsafnat2024converge"/>
    <w:p>
      <w:pPr>
        <w:pStyle w:val="Bibliography"/>
      </w:pPr>
      <w:r>
        <w:t xml:space="preserve">Tsafnat, G, R Dunscombe, D Gabriel, G Grieve, and C Reich. 2024.</w:t>
      </w:r>
      <w:r>
        <w:t xml:space="preserve"> </w:t>
      </w:r>
      <w:r>
        <w:t xml:space="preserve">“Converge or Collide?</w:t>
      </w:r>
      <w:r>
        <w:t xml:space="preserve"> </w:t>
      </w:r>
      <w:r>
        <w:t xml:space="preserve">Making</w:t>
      </w:r>
      <w:r>
        <w:t xml:space="preserve"> </w:t>
      </w:r>
      <w:r>
        <w:t xml:space="preserve">Sense of a Plethora of Open Data Standards in Healthcare: An Editorial.”</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https://en.wikipedia.org/wiki/GSM#Initial_European_development</w:t>
        </w:r>
      </w:hyperlink>
      <w:r>
        <w:t xml:space="preserve"> </w:t>
      </w:r>
      <w:r>
        <w:t xml:space="preserve">for details.</w:t>
      </w:r>
    </w:p>
  </w:footnote>
  <w:footnote w:id="23">
    <w:p>
      <w:pPr>
        <w:pStyle w:val="FootnoteText"/>
      </w:pPr>
      <w:r>
        <w:rPr>
          <w:rStyle w:val="FootnoteReference"/>
        </w:rPr>
        <w:footnoteRef/>
      </w:r>
      <w:r>
        <w:t xml:space="preserve"> </w:t>
      </w:r>
      <w:r>
        <w:t xml:space="preserve">https://build.fhir.org/ig/FHIR/sql-on-fhir-v2/</w:t>
      </w:r>
    </w:p>
  </w:footnote>
  <w:footnote w:id="24">
    <w:p>
      <w:pPr>
        <w:pStyle w:val="FootnoteText"/>
      </w:pPr>
      <w:r>
        <w:rPr>
          <w:rStyle w:val="FootnoteReference"/>
        </w:rPr>
        <w:footnoteRef/>
      </w:r>
      <w:r>
        <w:t xml:space="preserve"> </w:t>
      </w:r>
      <w:r>
        <w:t xml:space="preserve">FHIR: https://confluence.hl7.org/display/FHIR/Open+Source+Implementations . OMOP: https://www.ohdsi.org/software-tools/. OpenEHR: https://openehr.org/products_tools/platform/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hyperlink" Id="rId47" Target="https://doi.org/10.1007/978-981-15-6315-7_7" TargetMode="External" /><Relationship Type="http://schemas.openxmlformats.org/officeDocument/2006/relationships/hyperlink" Id="rId72"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94" Target="https://doi.org/10.1016/j.ijmedinf.2022.104925" TargetMode="External" /><Relationship Type="http://schemas.openxmlformats.org/officeDocument/2006/relationships/hyperlink" Id="rId49" Target="https://doi.org/10.1016/j.jbi.2023.104338" TargetMode="External" /><Relationship Type="http://schemas.openxmlformats.org/officeDocument/2006/relationships/hyperlink" Id="rId81" Target="https://doi.org/10.1016/j.jbi.2024.104661" TargetMode="External" /><Relationship Type="http://schemas.openxmlformats.org/officeDocument/2006/relationships/hyperlink" Id="rId106" Target="https://doi.org/10.1016/j.xcrm.2024.101419" TargetMode="External" /><Relationship Type="http://schemas.openxmlformats.org/officeDocument/2006/relationships/hyperlink" Id="rId98" Target="https://doi.org/10.1038/s41746-020-00323-1" TargetMode="External" /><Relationship Type="http://schemas.openxmlformats.org/officeDocument/2006/relationships/hyperlink" Id="rId79" Target="https://doi.org/10.1038/s41746-020-00358-4" TargetMode="External" /><Relationship Type="http://schemas.openxmlformats.org/officeDocument/2006/relationships/hyperlink" Id="rId51" Target="https://doi.org/10.1055/s-0043-1768711" TargetMode="External" /><Relationship Type="http://schemas.openxmlformats.org/officeDocument/2006/relationships/hyperlink" Id="rId53" Target="https://doi.org/10.1057/s41265-016-0033-3" TargetMode="External" /><Relationship Type="http://schemas.openxmlformats.org/officeDocument/2006/relationships/hyperlink" Id="rId69" Target="https://doi.org/10.1093/jamia/ocab028" TargetMode="External" /><Relationship Type="http://schemas.openxmlformats.org/officeDocument/2006/relationships/hyperlink" Id="rId85" Target="https://doi.org/10.1093/jamia/ocad235" TargetMode="External" /><Relationship Type="http://schemas.openxmlformats.org/officeDocument/2006/relationships/hyperlink" Id="rId83" Target="https://doi.org/10.1093/oodh/oqad018" TargetMode="External" /><Relationship Type="http://schemas.openxmlformats.org/officeDocument/2006/relationships/hyperlink" Id="rId63" Target="https://doi.org/10.1109/BigData55660.2022.10020719" TargetMode="External" /><Relationship Type="http://schemas.openxmlformats.org/officeDocument/2006/relationships/hyperlink" Id="rId61" Target="https://doi.org/10.1109/TKDE.2023.3270101" TargetMode="External" /><Relationship Type="http://schemas.openxmlformats.org/officeDocument/2006/relationships/hyperlink" Id="rId74" Target="https://doi.org/10.1183/23120541.00168-2022" TargetMode="External" /><Relationship Type="http://schemas.openxmlformats.org/officeDocument/2006/relationships/hyperlink" Id="rId88" Target="https://doi.org/10.1186/s12911-021-01499-6" TargetMode="External" /><Relationship Type="http://schemas.openxmlformats.org/officeDocument/2006/relationships/hyperlink" Id="rId77" Target="https://doi.org/10.1371/journal.pdig.0000118" TargetMode="External" /><Relationship Type="http://schemas.openxmlformats.org/officeDocument/2006/relationships/hyperlink" Id="rId59" Target="https://doi.org/10.1371/journal.pone.0223010" TargetMode="External" /><Relationship Type="http://schemas.openxmlformats.org/officeDocument/2006/relationships/hyperlink" Id="rId92" Target="https://doi.org/10.14778/3603581.3603604" TargetMode="External" /><Relationship Type="http://schemas.openxmlformats.org/officeDocument/2006/relationships/hyperlink" Id="rId65" Target="https://doi.org/10.2139/ssrn.4765588" TargetMode="External" /><Relationship Type="http://schemas.openxmlformats.org/officeDocument/2006/relationships/hyperlink" Id="rId96" Target="https://doi.org/10.2196/jmir.1521" TargetMode="External" /><Relationship Type="http://schemas.openxmlformats.org/officeDocument/2006/relationships/hyperlink" Id="rId104" Target="https://doi.org/10.2196/medinform.8131" TargetMode="External" /><Relationship Type="http://schemas.openxmlformats.org/officeDocument/2006/relationships/hyperlink" Id="rId57" Target="https://doi.org/10.3233/FC-230504" TargetMode="External" /><Relationship Type="http://schemas.openxmlformats.org/officeDocument/2006/relationships/hyperlink" Id="rId102"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26" Target="https://plugin.healthcare" TargetMode="External" /></Relationships>
</file>

<file path=word/_rels/footnotes.xml.rels><?xml version="1.0" encoding="UTF-8"?><Relationships xmlns="http://schemas.openxmlformats.org/package/2006/relationships"><Relationship Type="http://schemas.openxmlformats.org/officeDocument/2006/relationships/hyperlink" Id="rId47" Target="https://doi.org/10.1007/978-981-15-6315-7_7" TargetMode="External" /><Relationship Type="http://schemas.openxmlformats.org/officeDocument/2006/relationships/hyperlink" Id="rId72" Target="https://doi.org/10.1016/j.cmpb.2021.106394" TargetMode="External" /><Relationship Type="http://schemas.openxmlformats.org/officeDocument/2006/relationships/hyperlink" Id="rId100" Target="https://doi.org/10.1016/j.csbj.2024.02.014" TargetMode="External" /><Relationship Type="http://schemas.openxmlformats.org/officeDocument/2006/relationships/hyperlink" Id="rId94" Target="https://doi.org/10.1016/j.ijmedinf.2022.104925" TargetMode="External" /><Relationship Type="http://schemas.openxmlformats.org/officeDocument/2006/relationships/hyperlink" Id="rId49" Target="https://doi.org/10.1016/j.jbi.2023.104338" TargetMode="External" /><Relationship Type="http://schemas.openxmlformats.org/officeDocument/2006/relationships/hyperlink" Id="rId81" Target="https://doi.org/10.1016/j.jbi.2024.104661" TargetMode="External" /><Relationship Type="http://schemas.openxmlformats.org/officeDocument/2006/relationships/hyperlink" Id="rId106" Target="https://doi.org/10.1016/j.xcrm.2024.101419" TargetMode="External" /><Relationship Type="http://schemas.openxmlformats.org/officeDocument/2006/relationships/hyperlink" Id="rId98" Target="https://doi.org/10.1038/s41746-020-00323-1" TargetMode="External" /><Relationship Type="http://schemas.openxmlformats.org/officeDocument/2006/relationships/hyperlink" Id="rId79" Target="https://doi.org/10.1038/s41746-020-00358-4" TargetMode="External" /><Relationship Type="http://schemas.openxmlformats.org/officeDocument/2006/relationships/hyperlink" Id="rId51" Target="https://doi.org/10.1055/s-0043-1768711" TargetMode="External" /><Relationship Type="http://schemas.openxmlformats.org/officeDocument/2006/relationships/hyperlink" Id="rId53" Target="https://doi.org/10.1057/s41265-016-0033-3" TargetMode="External" /><Relationship Type="http://schemas.openxmlformats.org/officeDocument/2006/relationships/hyperlink" Id="rId69" Target="https://doi.org/10.1093/jamia/ocab028" TargetMode="External" /><Relationship Type="http://schemas.openxmlformats.org/officeDocument/2006/relationships/hyperlink" Id="rId85" Target="https://doi.org/10.1093/jamia/ocad235" TargetMode="External" /><Relationship Type="http://schemas.openxmlformats.org/officeDocument/2006/relationships/hyperlink" Id="rId83" Target="https://doi.org/10.1093/oodh/oqad018" TargetMode="External" /><Relationship Type="http://schemas.openxmlformats.org/officeDocument/2006/relationships/hyperlink" Id="rId63" Target="https://doi.org/10.1109/BigData55660.2022.10020719" TargetMode="External" /><Relationship Type="http://schemas.openxmlformats.org/officeDocument/2006/relationships/hyperlink" Id="rId61" Target="https://doi.org/10.1109/TKDE.2023.3270101" TargetMode="External" /><Relationship Type="http://schemas.openxmlformats.org/officeDocument/2006/relationships/hyperlink" Id="rId74" Target="https://doi.org/10.1183/23120541.00168-2022" TargetMode="External" /><Relationship Type="http://schemas.openxmlformats.org/officeDocument/2006/relationships/hyperlink" Id="rId88" Target="https://doi.org/10.1186/s12911-021-01499-6" TargetMode="External" /><Relationship Type="http://schemas.openxmlformats.org/officeDocument/2006/relationships/hyperlink" Id="rId77" Target="https://doi.org/10.1371/journal.pdig.0000118" TargetMode="External" /><Relationship Type="http://schemas.openxmlformats.org/officeDocument/2006/relationships/hyperlink" Id="rId59" Target="https://doi.org/10.1371/journal.pone.0223010" TargetMode="External" /><Relationship Type="http://schemas.openxmlformats.org/officeDocument/2006/relationships/hyperlink" Id="rId92" Target="https://doi.org/10.14778/3603581.3603604" TargetMode="External" /><Relationship Type="http://schemas.openxmlformats.org/officeDocument/2006/relationships/hyperlink" Id="rId65" Target="https://doi.org/10.2139/ssrn.4765588" TargetMode="External" /><Relationship Type="http://schemas.openxmlformats.org/officeDocument/2006/relationships/hyperlink" Id="rId96" Target="https://doi.org/10.2196/jmir.1521" TargetMode="External" /><Relationship Type="http://schemas.openxmlformats.org/officeDocument/2006/relationships/hyperlink" Id="rId104" Target="https://doi.org/10.2196/medinform.8131" TargetMode="External" /><Relationship Type="http://schemas.openxmlformats.org/officeDocument/2006/relationships/hyperlink" Id="rId57" Target="https://doi.org/10.3233/FC-230504" TargetMode="External" /><Relationship Type="http://schemas.openxmlformats.org/officeDocument/2006/relationships/hyperlink" Id="rId102" Target="https://doi.org/10.3233/SHTI220682" TargetMode="External" /><Relationship Type="http://schemas.openxmlformats.org/officeDocument/2006/relationships/hyperlink" Id="rId22" Target="https://en.wikipedia.org/wiki/GSM#Initial_European_development" TargetMode="External" /><Relationship Type="http://schemas.openxmlformats.org/officeDocument/2006/relationships/hyperlink" Id="rId26" Target="https://plugin.healthc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inteoperability in context: the importance of open source implementations when choosing open standards</dc:title>
  <dc:creator>Daniel Kapitan; Femke Heddema; Andre Dekker; Melle Sieswerda; Bart-Jan Verhoeff</dc:creator>
  <cp:keywords>OMOP, OpenEHR, FHIR, secondary use, data platform, digital platform</cp:keywords>
  <dcterms:created xsi:type="dcterms:W3CDTF">2024-07-19T07:42:26Z</dcterms:created>
  <dcterms:modified xsi:type="dcterms:W3CDTF">2024-07-19T07:42:26Z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 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ference-section-title">
    <vt:lpwstr>References</vt:lpwstr>
  </property>
  <property fmtid="{D5CDD505-2E9C-101B-9397-08002B2CF9AE}" pid="14" name="toc-title">
    <vt:lpwstr>Table of contents</vt:lpwstr>
  </property>
</Properties>
</file>