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B"/>
        <w:jc w:val="left"/>
      </w:pPr>
      <w:r>
        <w:t>PharmaBridge Frontend Prototype Planning Document</w:t>
      </w:r>
    </w:p>
    <w:p>
      <w:pPr>
        <w:pStyle w:val="SubtitlePB"/>
      </w:pPr>
      <w:r>
        <w:t>Codex-ready product specification for a high-fidelity Next.js prototype covering public marketing, onboarding, role-based product flows, intelligence, and internal admin operations.</w:t>
      </w:r>
    </w:p>
    <w:p>
      <w:pPr>
        <w:pStyle w:val="BodySmall"/>
      </w:pPr>
      <w:r>
        <w:rPr>
          <w:b/>
        </w:rPr>
        <w:t xml:space="preserve">Prepared for: </w:t>
      </w:r>
      <w:r>
        <w:t>Frontend prototype planning and handoff</w:t>
        <w:br/>
      </w:r>
      <w:r>
        <w:rPr>
          <w:b/>
        </w:rPr>
        <w:t xml:space="preserve">Source basis: </w:t>
      </w:r>
      <w:r>
        <w:t>Business workflows document + uploaded reference HTML screens</w:t>
        <w:br/>
      </w:r>
      <w:r>
        <w:rPr>
          <w:b/>
        </w:rPr>
        <w:t xml:space="preserve">Date: </w:t>
      </w:r>
      <w:r>
        <w:t>April 2, 2026</w:t>
      </w:r>
    </w:p>
    <w:tbl>
      <w:tblPr>
        <w:tblW w:type="auto" w:w="0"/>
        <w:jc w:val="center"/>
        <w:tblLook w:firstColumn="1" w:firstRow="1" w:lastColumn="0" w:lastRow="0" w:noHBand="0" w:noVBand="1" w:val="04A0"/>
      </w:tblPr>
      <w:tblGrid>
        <w:gridCol w:w="9936"/>
      </w:tblGrid>
      <w:tr>
        <w:tc>
          <w:tcPr>
            <w:tcW w:type="dxa" w:w="9936"/>
            <w:shd w:fill="EEF7F6"/>
            <w:tcMar>
              <w:top w:w="120" w:type="dxa"/>
              <w:start w:w="160" w:type="dxa"/>
              <w:bottom w:w="120" w:type="dxa"/>
              <w:end w:w="160" w:type="dxa"/>
            </w:tcMar>
          </w:tcPr>
          <w:p>
            <w:pPr>
              <w:pStyle w:val="CalloutPB"/>
            </w:pPr>
            <w:r>
              <w:rPr>
                <w:b/>
                <w:color w:val="085050"/>
              </w:rPr>
              <w:t xml:space="preserve">Document intent. </w:t>
            </w:r>
            <w:r>
              <w:t>This document is written so Codex can understand what to build, how the prototype should be structured, which journeys matter most, which screens must exist, and how the UI should behave even before live backend integrations are available.</w:t>
            </w:r>
          </w:p>
        </w:tc>
      </w:tr>
    </w:tbl>
    <w:p/>
    <w:p>
      <w:pPr>
        <w:pStyle w:val="SectionPB"/>
      </w:pPr>
      <w:r>
        <w:t>1. Executive Summary</w:t>
      </w:r>
    </w:p>
    <w:p>
      <w:pPr/>
      <w:r>
        <w:t>PharmaBridge should be prototyped as a premium, dark-theme intelligence platform with four experience layers: a public marketing website, multi-role onboarding, authenticated applications for Sponsor/CDMO/CRO users, and an internal admin/compliance console. The prototype should prove the full story from discovery to onboarding, matching, RFP creation, proposal comparison, project execution, milestone tracking, intelligence alerts, and internal operations.</w:t>
      </w:r>
    </w:p>
    <w:p>
      <w:pPr/>
      <w:r>
        <w:t>The prototype is not a lightweight landing-page exercise. It should feel like a credible enterprise product that can be shown to clients, investors, and design stakeholders. The main objective is clarity of flows, strong page hierarchy, polished UI/UX, and enough realistic depth that stakeholders can understand how the final platform works.</w:t>
      </w:r>
    </w:p>
    <w:p>
      <w:pPr>
        <w:pStyle w:val="SubsectionPB"/>
      </w:pPr>
      <w:r>
        <w:t>Prototype success criteria</w:t>
      </w:r>
    </w:p>
    <w:p>
      <w:pPr>
        <w:ind w:left="259" w:hanging="173"/>
      </w:pPr>
      <w:r>
        <w:rPr>
          <w:b/>
        </w:rPr>
        <w:t xml:space="preserve">• </w:t>
      </w:r>
      <w:r>
        <w:t>Every major role has a clearly defined entry point, dashboard, and core journey.</w:t>
      </w:r>
    </w:p>
    <w:p>
      <w:pPr>
        <w:ind w:left="259" w:hanging="173"/>
      </w:pPr>
      <w:r>
        <w:rPr>
          <w:b/>
        </w:rPr>
        <w:t xml:space="preserve">• </w:t>
      </w:r>
      <w:r>
        <w:t>Sponsor flow demonstrates the strongest value path: programme creation → vendor match → compare → RFP → award → workspace.</w:t>
      </w:r>
    </w:p>
    <w:p>
      <w:pPr>
        <w:ind w:left="259" w:hanging="173"/>
      </w:pPr>
      <w:r>
        <w:rPr>
          <w:b/>
        </w:rPr>
        <w:t xml:space="preserve">• </w:t>
      </w:r>
      <w:r>
        <w:t>CDMO and CRO flows demonstrate vendor-side credibility: onboarding, profile management, capacity, inbound RFPs, and active projects.</w:t>
      </w:r>
    </w:p>
    <w:p>
      <w:pPr>
        <w:ind w:left="259" w:hanging="173"/>
      </w:pPr>
      <w:r>
        <w:rPr>
          <w:b/>
        </w:rPr>
        <w:t xml:space="preserve">• </w:t>
      </w:r>
      <w:r>
        <w:t>Admin flow proves operational seriousness: verification, certificate review, fraud/compliance, disputes, and intelligence QA.</w:t>
      </w:r>
    </w:p>
    <w:p>
      <w:pPr>
        <w:ind w:left="259" w:hanging="173"/>
      </w:pPr>
      <w:r>
        <w:rPr>
          <w:b/>
        </w:rPr>
        <w:t xml:space="preserve">• </w:t>
      </w:r>
      <w:r>
        <w:t>The prototype can be navigated end to end without requiring a backend.</w:t>
      </w:r>
    </w:p>
    <w:p>
      <w:pPr>
        <w:pStyle w:val="SectionPB"/>
      </w:pPr>
      <w:r>
        <w:t>2. Product Context</w:t>
      </w:r>
    </w:p>
    <w:p>
      <w:pPr/>
      <w:r>
        <w:t>PharmaBridge is a three-sided AI-powered marketplace that connects pharma sponsors with CDMOs and CROs across multiple drug modalities. The workflow architecture positions the platform as both a matchmaking engine and a managed transaction platform handling NDAs, RFPs, project tracking, escrow/payments, document vault, intelligence, and compliance operations.</w:t>
      </w:r>
    </w:p>
    <w:p>
      <w:pPr>
        <w:pStyle w:val="SubsectionPB"/>
      </w:pPr>
      <w:r>
        <w:t>Core platform modules to reflect in the prototype</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rPr>
        <w:tc>
          <w:tcPr>
            <w:tcW w:type="dxa" w:w="2160"/>
            <w:vAlign w:val="center"/>
            <w:tcMar>
              <w:top w:w="80" w:type="dxa"/>
              <w:start w:w="100" w:type="dxa"/>
              <w:bottom w:w="80" w:type="dxa"/>
              <w:end w:w="100" w:type="dxa"/>
            </w:tcMar>
            <w:shd w:fill="0B7070"/>
          </w:tcPr>
          <w:p>
            <w:pPr>
              <w:pStyle w:val="TableText"/>
              <w:spacing w:after="0"/>
            </w:pPr>
            <w:r>
              <w:rPr>
                <w:b/>
                <w:color w:val="FFFFFF"/>
              </w:rPr>
              <w:t>Module</w:t>
            </w:r>
          </w:p>
        </w:tc>
        <w:tc>
          <w:tcPr>
            <w:tcW w:type="dxa" w:w="4608"/>
            <w:vAlign w:val="center"/>
            <w:tcMar>
              <w:top w:w="80" w:type="dxa"/>
              <w:start w:w="100" w:type="dxa"/>
              <w:bottom w:w="80" w:type="dxa"/>
              <w:end w:w="100" w:type="dxa"/>
            </w:tcMar>
            <w:shd w:fill="0B7070"/>
          </w:tcPr>
          <w:p>
            <w:pPr>
              <w:pStyle w:val="TableText"/>
              <w:spacing w:after="0"/>
            </w:pPr>
            <w:r>
              <w:rPr>
                <w:b/>
                <w:color w:val="FFFFFF"/>
              </w:rPr>
              <w:t>What the prototype must demonstrate</w:t>
            </w:r>
          </w:p>
        </w:tc>
        <w:tc>
          <w:tcPr>
            <w:tcW w:type="dxa" w:w="1872"/>
            <w:vAlign w:val="center"/>
            <w:tcMar>
              <w:top w:w="80" w:type="dxa"/>
              <w:start w:w="100" w:type="dxa"/>
              <w:bottom w:w="80" w:type="dxa"/>
              <w:end w:w="100" w:type="dxa"/>
            </w:tcMar>
            <w:shd w:fill="0B7070"/>
          </w:tcPr>
          <w:p>
            <w:pPr>
              <w:pStyle w:val="TableText"/>
              <w:spacing w:after="0"/>
            </w:pPr>
            <w:r>
              <w:rPr>
                <w:b/>
                <w:color w:val="FFFFFF"/>
              </w:rPr>
              <w:t>Primary users</w:t>
            </w:r>
          </w:p>
        </w:tc>
        <w:tc>
          <w:tcPr>
            <w:tcW w:type="dxa" w:w="3024"/>
            <w:vAlign w:val="center"/>
            <w:tcMar>
              <w:top w:w="80" w:type="dxa"/>
              <w:start w:w="100" w:type="dxa"/>
              <w:bottom w:w="80" w:type="dxa"/>
              <w:end w:w="100" w:type="dxa"/>
            </w:tcMar>
            <w:shd w:fill="0B7070"/>
          </w:tcPr>
          <w:p>
            <w:pPr>
              <w:pStyle w:val="TableText"/>
              <w:spacing w:after="0"/>
            </w:pPr>
            <w:r>
              <w:rPr>
                <w:b/>
                <w:color w:val="FFFFFF"/>
              </w:rPr>
              <w:t>UI implication</w:t>
            </w:r>
          </w:p>
        </w:tc>
      </w:tr>
      <w:tr>
        <w:trPr>
          <w:trHeight w:hRule="atLeast"/>
        </w:trPr>
        <w:tc>
          <w:tcPr>
            <w:tcW w:type="dxa" w:w="2160"/>
            <w:vAlign w:val="center"/>
            <w:tcMar>
              <w:top w:w="80" w:type="dxa"/>
              <w:start w:w="100" w:type="dxa"/>
              <w:bottom w:w="80" w:type="dxa"/>
              <w:end w:w="100" w:type="dxa"/>
            </w:tcMar>
          </w:tcPr>
          <w:p>
            <w:pPr>
              <w:pStyle w:val="TableText"/>
              <w:spacing w:after="0"/>
            </w:pPr>
            <w:r>
              <w:t>Identity &amp; Onboarding</w:t>
            </w:r>
          </w:p>
        </w:tc>
        <w:tc>
          <w:tcPr>
            <w:tcW w:type="dxa" w:w="4608"/>
            <w:vAlign w:val="center"/>
            <w:tcMar>
              <w:top w:w="80" w:type="dxa"/>
              <w:start w:w="100" w:type="dxa"/>
              <w:bottom w:w="80" w:type="dxa"/>
              <w:end w:w="100" w:type="dxa"/>
            </w:tcMar>
          </w:tcPr>
          <w:p>
            <w:pPr>
              <w:pStyle w:val="TableText"/>
              <w:spacing w:after="0"/>
            </w:pPr>
            <w:r>
              <w:t>Registration, profile completion, verification states, role selection</w:t>
            </w:r>
          </w:p>
        </w:tc>
        <w:tc>
          <w:tcPr>
            <w:tcW w:type="dxa" w:w="1872"/>
            <w:vAlign w:val="center"/>
            <w:tcMar>
              <w:top w:w="80" w:type="dxa"/>
              <w:start w:w="100" w:type="dxa"/>
              <w:bottom w:w="80" w:type="dxa"/>
              <w:end w:w="100" w:type="dxa"/>
            </w:tcMar>
          </w:tcPr>
          <w:p>
            <w:pPr>
              <w:pStyle w:val="TableText"/>
              <w:spacing w:after="0"/>
            </w:pPr>
            <w:r>
              <w:t>All</w:t>
            </w:r>
          </w:p>
        </w:tc>
        <w:tc>
          <w:tcPr>
            <w:tcW w:type="dxa" w:w="3024"/>
            <w:vAlign w:val="center"/>
            <w:tcMar>
              <w:top w:w="80" w:type="dxa"/>
              <w:start w:w="100" w:type="dxa"/>
              <w:bottom w:w="80" w:type="dxa"/>
              <w:end w:w="100" w:type="dxa"/>
            </w:tcMar>
          </w:tcPr>
          <w:p>
            <w:pPr>
              <w:pStyle w:val="TableText"/>
              <w:spacing w:after="0"/>
            </w:pPr>
            <w:r>
              <w:t>Wizard-driven onboarding with progress, validation, and status states</w:t>
            </w:r>
          </w:p>
        </w:tc>
      </w:tr>
      <w:tr>
        <w:trPr>
          <w:trHeight w:hRule="atLeast"/>
        </w:trPr>
        <w:tc>
          <w:tcPr>
            <w:tcW w:type="dxa" w:w="2160"/>
            <w:vAlign w:val="center"/>
            <w:tcMar>
              <w:top w:w="80" w:type="dxa"/>
              <w:start w:w="100" w:type="dxa"/>
              <w:bottom w:w="80" w:type="dxa"/>
              <w:end w:w="100" w:type="dxa"/>
            </w:tcMar>
            <w:shd w:fill="F7FAFC"/>
          </w:tcPr>
          <w:p>
            <w:pPr>
              <w:pStyle w:val="TableText"/>
              <w:spacing w:after="0"/>
            </w:pPr>
            <w:r>
              <w:t>AI Matching Engine</w:t>
            </w:r>
          </w:p>
        </w:tc>
        <w:tc>
          <w:tcPr>
            <w:tcW w:type="dxa" w:w="4608"/>
            <w:vAlign w:val="center"/>
            <w:tcMar>
              <w:top w:w="80" w:type="dxa"/>
              <w:start w:w="100" w:type="dxa"/>
              <w:bottom w:w="80" w:type="dxa"/>
              <w:end w:w="100" w:type="dxa"/>
            </w:tcMar>
            <w:shd w:fill="F7FAFC"/>
          </w:tcPr>
          <w:p>
            <w:pPr>
              <w:pStyle w:val="TableText"/>
              <w:spacing w:after="0"/>
            </w:pPr>
            <w:r>
              <w:t>Programme-to-vendor match results with rationale and filters</w:t>
            </w:r>
          </w:p>
        </w:tc>
        <w:tc>
          <w:tcPr>
            <w:tcW w:type="dxa" w:w="1872"/>
            <w:vAlign w:val="center"/>
            <w:tcMar>
              <w:top w:w="80" w:type="dxa"/>
              <w:start w:w="100" w:type="dxa"/>
              <w:bottom w:w="80" w:type="dxa"/>
              <w:end w:w="100" w:type="dxa"/>
            </w:tcMar>
            <w:shd w:fill="F7FAFC"/>
          </w:tcPr>
          <w:p>
            <w:pPr>
              <w:pStyle w:val="TableText"/>
              <w:spacing w:after="0"/>
            </w:pPr>
            <w:r>
              <w:t>Sponsor</w:t>
            </w:r>
          </w:p>
        </w:tc>
        <w:tc>
          <w:tcPr>
            <w:tcW w:type="dxa" w:w="3024"/>
            <w:vAlign w:val="center"/>
            <w:tcMar>
              <w:top w:w="80" w:type="dxa"/>
              <w:start w:w="100" w:type="dxa"/>
              <w:bottom w:w="80" w:type="dxa"/>
              <w:end w:w="100" w:type="dxa"/>
            </w:tcMar>
            <w:shd w:fill="F7FAFC"/>
          </w:tcPr>
          <w:p>
            <w:pPr>
              <w:pStyle w:val="TableText"/>
              <w:spacing w:after="0"/>
            </w:pPr>
            <w:r>
              <w:t>Results list, compare view, saved shortlist, fit reasoning</w:t>
            </w:r>
          </w:p>
        </w:tc>
      </w:tr>
      <w:tr>
        <w:trPr>
          <w:trHeight w:hRule="atLeast"/>
        </w:trPr>
        <w:tc>
          <w:tcPr>
            <w:tcW w:type="dxa" w:w="2160"/>
            <w:vAlign w:val="center"/>
            <w:tcMar>
              <w:top w:w="80" w:type="dxa"/>
              <w:start w:w="100" w:type="dxa"/>
              <w:bottom w:w="80" w:type="dxa"/>
              <w:end w:w="100" w:type="dxa"/>
            </w:tcMar>
          </w:tcPr>
          <w:p>
            <w:pPr>
              <w:pStyle w:val="TableText"/>
              <w:spacing w:after="0"/>
            </w:pPr>
            <w:r>
              <w:t>RFP / RFQ Builder</w:t>
            </w:r>
          </w:p>
        </w:tc>
        <w:tc>
          <w:tcPr>
            <w:tcW w:type="dxa" w:w="4608"/>
            <w:vAlign w:val="center"/>
            <w:tcMar>
              <w:top w:w="80" w:type="dxa"/>
              <w:start w:w="100" w:type="dxa"/>
              <w:bottom w:w="80" w:type="dxa"/>
              <w:end w:w="100" w:type="dxa"/>
            </w:tcMar>
          </w:tcPr>
          <w:p>
            <w:pPr>
              <w:pStyle w:val="TableText"/>
              <w:spacing w:after="0"/>
            </w:pPr>
            <w:r>
              <w:t>Structured request creation and proposal workflow</w:t>
            </w:r>
          </w:p>
        </w:tc>
        <w:tc>
          <w:tcPr>
            <w:tcW w:type="dxa" w:w="1872"/>
            <w:vAlign w:val="center"/>
            <w:tcMar>
              <w:top w:w="80" w:type="dxa"/>
              <w:start w:w="100" w:type="dxa"/>
              <w:bottom w:w="80" w:type="dxa"/>
              <w:end w:w="100" w:type="dxa"/>
            </w:tcMar>
          </w:tcPr>
          <w:p>
            <w:pPr>
              <w:pStyle w:val="TableText"/>
              <w:spacing w:after="0"/>
            </w:pPr>
            <w:r>
              <w:t>Sponsor, CDMO, CRO</w:t>
            </w:r>
          </w:p>
        </w:tc>
        <w:tc>
          <w:tcPr>
            <w:tcW w:type="dxa" w:w="3024"/>
            <w:vAlign w:val="center"/>
            <w:tcMar>
              <w:top w:w="80" w:type="dxa"/>
              <w:start w:w="100" w:type="dxa"/>
              <w:bottom w:w="80" w:type="dxa"/>
              <w:end w:w="100" w:type="dxa"/>
            </w:tcMar>
          </w:tcPr>
          <w:p>
            <w:pPr>
              <w:pStyle w:val="TableText"/>
              <w:spacing w:after="0"/>
            </w:pPr>
            <w:r>
              <w:t>RFP wizard, inbox, proposal review, comparison and award</w:t>
            </w:r>
          </w:p>
        </w:tc>
      </w:tr>
      <w:tr>
        <w:trPr>
          <w:trHeight w:hRule="atLeast"/>
        </w:trPr>
        <w:tc>
          <w:tcPr>
            <w:tcW w:type="dxa" w:w="2160"/>
            <w:vAlign w:val="center"/>
            <w:tcMar>
              <w:top w:w="80" w:type="dxa"/>
              <w:start w:w="100" w:type="dxa"/>
              <w:bottom w:w="80" w:type="dxa"/>
              <w:end w:w="100" w:type="dxa"/>
            </w:tcMar>
            <w:shd w:fill="F7FAFC"/>
          </w:tcPr>
          <w:p>
            <w:pPr>
              <w:pStyle w:val="TableText"/>
              <w:spacing w:after="0"/>
            </w:pPr>
            <w:r>
              <w:t>CRDMO Score</w:t>
            </w:r>
          </w:p>
        </w:tc>
        <w:tc>
          <w:tcPr>
            <w:tcW w:type="dxa" w:w="4608"/>
            <w:vAlign w:val="center"/>
            <w:tcMar>
              <w:top w:w="80" w:type="dxa"/>
              <w:start w:w="100" w:type="dxa"/>
              <w:bottom w:w="80" w:type="dxa"/>
              <w:end w:w="100" w:type="dxa"/>
            </w:tcMar>
            <w:shd w:fill="F7FAFC"/>
          </w:tcPr>
          <w:p>
            <w:pPr>
              <w:pStyle w:val="TableText"/>
              <w:spacing w:after="0"/>
            </w:pPr>
            <w:r>
              <w:t>Trust/risk scoring with breakdown and change signals</w:t>
            </w:r>
          </w:p>
        </w:tc>
        <w:tc>
          <w:tcPr>
            <w:tcW w:type="dxa" w:w="1872"/>
            <w:vAlign w:val="center"/>
            <w:tcMar>
              <w:top w:w="80" w:type="dxa"/>
              <w:start w:w="100" w:type="dxa"/>
              <w:bottom w:w="80" w:type="dxa"/>
              <w:end w:w="100" w:type="dxa"/>
            </w:tcMar>
            <w:shd w:fill="F7FAFC"/>
          </w:tcPr>
          <w:p>
            <w:pPr>
              <w:pStyle w:val="TableText"/>
              <w:spacing w:after="0"/>
            </w:pPr>
            <w:r>
              <w:t>Sponsor, CDMO, CRO</w:t>
            </w:r>
          </w:p>
        </w:tc>
        <w:tc>
          <w:tcPr>
            <w:tcW w:type="dxa" w:w="3024"/>
            <w:vAlign w:val="center"/>
            <w:tcMar>
              <w:top w:w="80" w:type="dxa"/>
              <w:start w:w="100" w:type="dxa"/>
              <w:bottom w:w="80" w:type="dxa"/>
              <w:end w:w="100" w:type="dxa"/>
            </w:tcMar>
            <w:shd w:fill="F7FAFC"/>
          </w:tcPr>
          <w:p>
            <w:pPr>
              <w:pStyle w:val="TableText"/>
              <w:spacing w:after="0"/>
            </w:pPr>
            <w:r>
              <w:t>Profile score widgets, risk flags, score details</w:t>
            </w:r>
          </w:p>
        </w:tc>
      </w:tr>
      <w:tr>
        <w:trPr>
          <w:trHeight w:hRule="atLeast"/>
        </w:trPr>
        <w:tc>
          <w:tcPr>
            <w:tcW w:type="dxa" w:w="2160"/>
            <w:vAlign w:val="center"/>
            <w:tcMar>
              <w:top w:w="80" w:type="dxa"/>
              <w:start w:w="100" w:type="dxa"/>
              <w:bottom w:w="80" w:type="dxa"/>
              <w:end w:w="100" w:type="dxa"/>
            </w:tcMar>
          </w:tcPr>
          <w:p>
            <w:pPr>
              <w:pStyle w:val="TableText"/>
              <w:spacing w:after="0"/>
            </w:pPr>
            <w:r>
              <w:t>Project Workspace</w:t>
            </w:r>
          </w:p>
        </w:tc>
        <w:tc>
          <w:tcPr>
            <w:tcW w:type="dxa" w:w="4608"/>
            <w:vAlign w:val="center"/>
            <w:tcMar>
              <w:top w:w="80" w:type="dxa"/>
              <w:start w:w="100" w:type="dxa"/>
              <w:bottom w:w="80" w:type="dxa"/>
              <w:end w:w="100" w:type="dxa"/>
            </w:tcMar>
          </w:tcPr>
          <w:p>
            <w:pPr>
              <w:pStyle w:val="TableText"/>
              <w:spacing w:after="0"/>
            </w:pPr>
            <w:r>
              <w:t>Post-award collaboration and milestones</w:t>
            </w:r>
          </w:p>
        </w:tc>
        <w:tc>
          <w:tcPr>
            <w:tcW w:type="dxa" w:w="1872"/>
            <w:vAlign w:val="center"/>
            <w:tcMar>
              <w:top w:w="80" w:type="dxa"/>
              <w:start w:w="100" w:type="dxa"/>
              <w:bottom w:w="80" w:type="dxa"/>
              <w:end w:w="100" w:type="dxa"/>
            </w:tcMar>
          </w:tcPr>
          <w:p>
            <w:pPr>
              <w:pStyle w:val="TableText"/>
              <w:spacing w:after="0"/>
            </w:pPr>
            <w:r>
              <w:t>All</w:t>
            </w:r>
          </w:p>
        </w:tc>
        <w:tc>
          <w:tcPr>
            <w:tcW w:type="dxa" w:w="3024"/>
            <w:vAlign w:val="center"/>
            <w:tcMar>
              <w:top w:w="80" w:type="dxa"/>
              <w:start w:w="100" w:type="dxa"/>
              <w:bottom w:w="80" w:type="dxa"/>
              <w:end w:w="100" w:type="dxa"/>
            </w:tcMar>
          </w:tcPr>
          <w:p>
            <w:pPr>
              <w:pStyle w:val="TableText"/>
              <w:spacing w:after="0"/>
            </w:pPr>
            <w:r>
              <w:t>Project overview, milestone evidence, issues, documents, communication</w:t>
            </w:r>
          </w:p>
        </w:tc>
      </w:tr>
      <w:tr>
        <w:trPr>
          <w:trHeight w:hRule="atLeast"/>
        </w:trPr>
        <w:tc>
          <w:tcPr>
            <w:tcW w:type="dxa" w:w="2160"/>
            <w:vAlign w:val="center"/>
            <w:tcMar>
              <w:top w:w="80" w:type="dxa"/>
              <w:start w:w="100" w:type="dxa"/>
              <w:bottom w:w="80" w:type="dxa"/>
              <w:end w:w="100" w:type="dxa"/>
            </w:tcMar>
            <w:shd w:fill="F7FAFC"/>
          </w:tcPr>
          <w:p>
            <w:pPr>
              <w:pStyle w:val="TableText"/>
              <w:spacing w:after="0"/>
            </w:pPr>
            <w:r>
              <w:t>Escrow &amp; Payments</w:t>
            </w:r>
          </w:p>
        </w:tc>
        <w:tc>
          <w:tcPr>
            <w:tcW w:type="dxa" w:w="4608"/>
            <w:vAlign w:val="center"/>
            <w:tcMar>
              <w:top w:w="80" w:type="dxa"/>
              <w:start w:w="100" w:type="dxa"/>
              <w:bottom w:w="80" w:type="dxa"/>
              <w:end w:w="100" w:type="dxa"/>
            </w:tcMar>
            <w:shd w:fill="F7FAFC"/>
          </w:tcPr>
          <w:p>
            <w:pPr>
              <w:pStyle w:val="TableText"/>
              <w:spacing w:after="0"/>
            </w:pPr>
            <w:r>
              <w:t>Milestone-based release and dispute states</w:t>
            </w:r>
          </w:p>
        </w:tc>
        <w:tc>
          <w:tcPr>
            <w:tcW w:type="dxa" w:w="1872"/>
            <w:vAlign w:val="center"/>
            <w:tcMar>
              <w:top w:w="80" w:type="dxa"/>
              <w:start w:w="100" w:type="dxa"/>
              <w:bottom w:w="80" w:type="dxa"/>
              <w:end w:w="100" w:type="dxa"/>
            </w:tcMar>
            <w:shd w:fill="F7FAFC"/>
          </w:tcPr>
          <w:p>
            <w:pPr>
              <w:pStyle w:val="TableText"/>
              <w:spacing w:after="0"/>
            </w:pPr>
            <w:r>
              <w:t>Sponsor, vendors</w:t>
            </w:r>
          </w:p>
        </w:tc>
        <w:tc>
          <w:tcPr>
            <w:tcW w:type="dxa" w:w="3024"/>
            <w:vAlign w:val="center"/>
            <w:tcMar>
              <w:top w:w="80" w:type="dxa"/>
              <w:start w:w="100" w:type="dxa"/>
              <w:bottom w:w="80" w:type="dxa"/>
              <w:end w:w="100" w:type="dxa"/>
            </w:tcMar>
            <w:shd w:fill="F7FAFC"/>
          </w:tcPr>
          <w:p>
            <w:pPr>
              <w:pStyle w:val="TableText"/>
              <w:spacing w:after="0"/>
            </w:pPr>
            <w:r>
              <w:t>Escrow status, invoice cards, release/dispute states</w:t>
            </w:r>
          </w:p>
        </w:tc>
      </w:tr>
      <w:tr>
        <w:trPr>
          <w:trHeight w:hRule="atLeast"/>
        </w:trPr>
        <w:tc>
          <w:tcPr>
            <w:tcW w:type="dxa" w:w="2160"/>
            <w:vAlign w:val="center"/>
            <w:tcMar>
              <w:top w:w="80" w:type="dxa"/>
              <w:start w:w="100" w:type="dxa"/>
              <w:bottom w:w="80" w:type="dxa"/>
              <w:end w:w="100" w:type="dxa"/>
            </w:tcMar>
          </w:tcPr>
          <w:p>
            <w:pPr>
              <w:pStyle w:val="TableText"/>
              <w:spacing w:after="0"/>
            </w:pPr>
            <w:r>
              <w:t>Intelligence Dashboard</w:t>
            </w:r>
          </w:p>
        </w:tc>
        <w:tc>
          <w:tcPr>
            <w:tcW w:type="dxa" w:w="4608"/>
            <w:vAlign w:val="center"/>
            <w:tcMar>
              <w:top w:w="80" w:type="dxa"/>
              <w:start w:w="100" w:type="dxa"/>
              <w:bottom w:w="80" w:type="dxa"/>
              <w:end w:w="100" w:type="dxa"/>
            </w:tcMar>
          </w:tcPr>
          <w:p>
            <w:pPr>
              <w:pStyle w:val="TableText"/>
              <w:spacing w:after="0"/>
            </w:pPr>
            <w:r>
              <w:t>Alerts, market/regulatory signals, modality insight</w:t>
            </w:r>
          </w:p>
        </w:tc>
        <w:tc>
          <w:tcPr>
            <w:tcW w:type="dxa" w:w="1872"/>
            <w:vAlign w:val="center"/>
            <w:tcMar>
              <w:top w:w="80" w:type="dxa"/>
              <w:start w:w="100" w:type="dxa"/>
              <w:bottom w:w="80" w:type="dxa"/>
              <w:end w:w="100" w:type="dxa"/>
            </w:tcMar>
          </w:tcPr>
          <w:p>
            <w:pPr>
              <w:pStyle w:val="TableText"/>
              <w:spacing w:after="0"/>
            </w:pPr>
            <w:r>
              <w:t>All</w:t>
            </w:r>
          </w:p>
        </w:tc>
        <w:tc>
          <w:tcPr>
            <w:tcW w:type="dxa" w:w="3024"/>
            <w:vAlign w:val="center"/>
            <w:tcMar>
              <w:top w:w="80" w:type="dxa"/>
              <w:start w:w="100" w:type="dxa"/>
              <w:bottom w:w="80" w:type="dxa"/>
              <w:end w:w="100" w:type="dxa"/>
            </w:tcMar>
          </w:tcPr>
          <w:p>
            <w:pPr>
              <w:pStyle w:val="TableText"/>
              <w:spacing w:after="0"/>
            </w:pPr>
            <w:r>
              <w:t>Alert feeds, dashboards, modality pages, watchlists</w:t>
            </w:r>
          </w:p>
        </w:tc>
      </w:tr>
      <w:tr>
        <w:trPr>
          <w:trHeight w:hRule="atLeast"/>
        </w:trPr>
        <w:tc>
          <w:tcPr>
            <w:tcW w:type="dxa" w:w="2160"/>
            <w:vAlign w:val="center"/>
            <w:tcMar>
              <w:top w:w="80" w:type="dxa"/>
              <w:start w:w="100" w:type="dxa"/>
              <w:bottom w:w="80" w:type="dxa"/>
              <w:end w:w="100" w:type="dxa"/>
            </w:tcMar>
            <w:shd w:fill="F7FAFC"/>
          </w:tcPr>
          <w:p>
            <w:pPr>
              <w:pStyle w:val="TableText"/>
              <w:spacing w:after="0"/>
            </w:pPr>
            <w:r>
              <w:t>Admin &amp; Compliance</w:t>
            </w:r>
          </w:p>
        </w:tc>
        <w:tc>
          <w:tcPr>
            <w:tcW w:type="dxa" w:w="4608"/>
            <w:vAlign w:val="center"/>
            <w:tcMar>
              <w:top w:w="80" w:type="dxa"/>
              <w:start w:w="100" w:type="dxa"/>
              <w:bottom w:w="80" w:type="dxa"/>
              <w:end w:w="100" w:type="dxa"/>
            </w:tcMar>
            <w:shd w:fill="F7FAFC"/>
          </w:tcPr>
          <w:p>
            <w:pPr>
              <w:pStyle w:val="TableText"/>
              <w:spacing w:after="0"/>
            </w:pPr>
            <w:r>
              <w:t>KYB, certificate verification, audit/dispute handling</w:t>
            </w:r>
          </w:p>
        </w:tc>
        <w:tc>
          <w:tcPr>
            <w:tcW w:type="dxa" w:w="1872"/>
            <w:vAlign w:val="center"/>
            <w:tcMar>
              <w:top w:w="80" w:type="dxa"/>
              <w:start w:w="100" w:type="dxa"/>
              <w:bottom w:w="80" w:type="dxa"/>
              <w:end w:w="100" w:type="dxa"/>
            </w:tcMar>
            <w:shd w:fill="F7FAFC"/>
          </w:tcPr>
          <w:p>
            <w:pPr>
              <w:pStyle w:val="TableText"/>
              <w:spacing w:after="0"/>
            </w:pPr>
            <w:r>
              <w:t>Internal ops</w:t>
            </w:r>
          </w:p>
        </w:tc>
        <w:tc>
          <w:tcPr>
            <w:tcW w:type="dxa" w:w="3024"/>
            <w:vAlign w:val="center"/>
            <w:tcMar>
              <w:top w:w="80" w:type="dxa"/>
              <w:start w:w="100" w:type="dxa"/>
              <w:bottom w:w="80" w:type="dxa"/>
              <w:end w:w="100" w:type="dxa"/>
            </w:tcMar>
            <w:shd w:fill="F7FAFC"/>
          </w:tcPr>
          <w:p>
            <w:pPr>
              <w:pStyle w:val="TableText"/>
              <w:spacing w:after="0"/>
            </w:pPr>
            <w:r>
              <w:t>Operational console with queues, reviews, and escalations</w:t>
            </w:r>
          </w:p>
        </w:tc>
      </w:tr>
    </w:tbl>
    <w:p/>
    <w:p>
      <w:pPr>
        <w:pStyle w:val="SectionPB"/>
      </w:pPr>
      <w:r>
        <w:t>3. Prototype Scope and Design Principles</w:t>
      </w:r>
    </w:p>
    <w:p>
      <w:pPr>
        <w:pStyle w:val="SubsectionPB"/>
      </w:pPr>
      <w:r>
        <w:t>Scope definition</w:t>
      </w:r>
    </w:p>
    <w:p>
      <w:pPr>
        <w:ind w:left="259" w:hanging="173"/>
      </w:pPr>
      <w:r>
        <w:rPr>
          <w:b/>
        </w:rPr>
        <w:t xml:space="preserve">• </w:t>
      </w:r>
      <w:r>
        <w:t>Build a high-fidelity frontend prototype in Next.js, using mock data and realistic UI states.</w:t>
      </w:r>
    </w:p>
    <w:p>
      <w:pPr>
        <w:ind w:left="259" w:hanging="173"/>
      </w:pPr>
      <w:r>
        <w:rPr>
          <w:b/>
        </w:rPr>
        <w:t xml:space="preserve">• </w:t>
      </w:r>
      <w:r>
        <w:t>Prioritize complete journeys over exhaustive data coverage.</w:t>
      </w:r>
    </w:p>
    <w:p>
      <w:pPr>
        <w:ind w:left="259" w:hanging="173"/>
      </w:pPr>
      <w:r>
        <w:rPr>
          <w:b/>
        </w:rPr>
        <w:t xml:space="preserve">• </w:t>
      </w:r>
      <w:r>
        <w:t>Include polished public pages, role-specific product pages, and internal operational screens.</w:t>
      </w:r>
    </w:p>
    <w:p>
      <w:pPr>
        <w:ind w:left="259" w:hanging="173"/>
      </w:pPr>
      <w:r>
        <w:rPr>
          <w:b/>
        </w:rPr>
        <w:t xml:space="preserve">• </w:t>
      </w:r>
      <w:r>
        <w:t>Use a consistent visual system inspired by the uploaded references: premium dark surfaces, teal/citrine accents, editorial typography, clear cards, dashboard density, and enterprise polish.</w:t>
      </w:r>
    </w:p>
    <w:p>
      <w:pPr>
        <w:ind w:left="259" w:hanging="173"/>
      </w:pPr>
      <w:r>
        <w:rPr>
          <w:b/>
        </w:rPr>
        <w:t xml:space="preserve">• </w:t>
      </w:r>
      <w:r>
        <w:t>Treat this as a handoff specification and planning package, not just a sitemap.</w:t>
      </w:r>
    </w:p>
    <w:p>
      <w:pPr>
        <w:pStyle w:val="SubsectionPB"/>
      </w:pPr>
      <w:r>
        <w:t>Design principles</w:t>
      </w:r>
    </w:p>
    <w:p>
      <w:pPr>
        <w:ind w:left="259" w:hanging="173"/>
      </w:pPr>
      <w:r>
        <w:rPr>
          <w:b/>
        </w:rPr>
        <w:t xml:space="preserve">• </w:t>
      </w:r>
      <w:r>
        <w:t>Premium intelligence-platform feel, not generic SaaS.</w:t>
      </w:r>
    </w:p>
    <w:p>
      <w:pPr>
        <w:ind w:left="259" w:hanging="173"/>
      </w:pPr>
      <w:r>
        <w:rPr>
          <w:b/>
        </w:rPr>
        <w:t xml:space="preserve">• </w:t>
      </w:r>
      <w:r>
        <w:t>High information density with clear visual hierarchy.</w:t>
      </w:r>
    </w:p>
    <w:p>
      <w:pPr>
        <w:ind w:left="259" w:hanging="173"/>
      </w:pPr>
      <w:r>
        <w:rPr>
          <w:b/>
        </w:rPr>
        <w:t xml:space="preserve">• </w:t>
      </w:r>
      <w:r>
        <w:t>One strong primary action per screen.</w:t>
      </w:r>
    </w:p>
    <w:p>
      <w:pPr>
        <w:ind w:left="259" w:hanging="173"/>
      </w:pPr>
      <w:r>
        <w:rPr>
          <w:b/>
        </w:rPr>
        <w:t xml:space="preserve">• </w:t>
      </w:r>
      <w:r>
        <w:t>Role-aware navigation and context badges.</w:t>
      </w:r>
    </w:p>
    <w:p>
      <w:pPr>
        <w:ind w:left="259" w:hanging="173"/>
      </w:pPr>
      <w:r>
        <w:rPr>
          <w:b/>
        </w:rPr>
        <w:t xml:space="preserve">• </w:t>
      </w:r>
      <w:r>
        <w:t>Responsive but desktop-first for investor/client demo use.</w:t>
      </w:r>
    </w:p>
    <w:p>
      <w:pPr>
        <w:ind w:left="259" w:hanging="173"/>
      </w:pPr>
      <w:r>
        <w:rPr>
          <w:b/>
        </w:rPr>
        <w:t xml:space="preserve">• </w:t>
      </w:r>
      <w:r>
        <w:t>Every important journey should feel finishable in prototype mode.</w:t>
      </w:r>
    </w:p>
    <w:p>
      <w:pPr>
        <w:ind w:left="259" w:hanging="173"/>
      </w:pPr>
      <w:r>
        <w:rPr>
          <w:b/>
        </w:rPr>
        <w:t xml:space="preserve">• </w:t>
      </w:r>
      <w:r>
        <w:t>Use believable content, metrics, and statuses instead of filler text.</w:t>
      </w:r>
    </w:p>
    <w:p>
      <w:pPr>
        <w:pStyle w:val="SectionPB"/>
      </w:pPr>
      <w:r>
        <w:t>4. User Roles and Product Areas</w:t>
      </w:r>
    </w:p>
    <w:tbl>
      <w:tblPr>
        <w:tblStyle w:val="TableGrid"/>
        <w:tblW w:type="auto" w:w="0"/>
        <w:jc w:val="center"/>
        <w:tblLook w:firstColumn="1" w:firstRow="1" w:lastColumn="0" w:lastRow="0" w:noHBand="0" w:noVBand="1" w:val="04A0"/>
      </w:tblPr>
      <w:tblGrid>
        <w:gridCol w:w="2484"/>
        <w:gridCol w:w="2484"/>
        <w:gridCol w:w="2484"/>
        <w:gridCol w:w="2484"/>
      </w:tblGrid>
      <w:tr>
        <w:trPr>
          <w:trHeight w:hRule="atLeast"/>
        </w:trPr>
        <w:tc>
          <w:tcPr>
            <w:tcW w:type="dxa" w:w="1728"/>
            <w:vAlign w:val="center"/>
            <w:tcMar>
              <w:top w:w="80" w:type="dxa"/>
              <w:start w:w="100" w:type="dxa"/>
              <w:bottom w:w="80" w:type="dxa"/>
              <w:end w:w="100" w:type="dxa"/>
            </w:tcMar>
            <w:shd w:fill="0B7070"/>
          </w:tcPr>
          <w:p>
            <w:pPr>
              <w:pStyle w:val="TableText"/>
              <w:spacing w:after="0"/>
            </w:pPr>
            <w:r>
              <w:rPr>
                <w:b/>
                <w:color w:val="FFFFFF"/>
              </w:rPr>
              <w:t>Role</w:t>
            </w:r>
          </w:p>
        </w:tc>
        <w:tc>
          <w:tcPr>
            <w:tcW w:type="dxa" w:w="3168"/>
            <w:vAlign w:val="center"/>
            <w:tcMar>
              <w:top w:w="80" w:type="dxa"/>
              <w:start w:w="100" w:type="dxa"/>
              <w:bottom w:w="80" w:type="dxa"/>
              <w:end w:w="100" w:type="dxa"/>
            </w:tcMar>
            <w:shd w:fill="0B7070"/>
          </w:tcPr>
          <w:p>
            <w:pPr>
              <w:pStyle w:val="TableText"/>
              <w:spacing w:after="0"/>
            </w:pPr>
            <w:r>
              <w:rPr>
                <w:b/>
                <w:color w:val="FFFFFF"/>
              </w:rPr>
              <w:t>What they need</w:t>
            </w:r>
          </w:p>
        </w:tc>
        <w:tc>
          <w:tcPr>
            <w:tcW w:type="dxa" w:w="4320"/>
            <w:vAlign w:val="center"/>
            <w:tcMar>
              <w:top w:w="80" w:type="dxa"/>
              <w:start w:w="100" w:type="dxa"/>
              <w:bottom w:w="80" w:type="dxa"/>
              <w:end w:w="100" w:type="dxa"/>
            </w:tcMar>
            <w:shd w:fill="0B7070"/>
          </w:tcPr>
          <w:p>
            <w:pPr>
              <w:pStyle w:val="TableText"/>
              <w:spacing w:after="0"/>
            </w:pPr>
            <w:r>
              <w:rPr>
                <w:b/>
                <w:color w:val="FFFFFF"/>
              </w:rPr>
              <w:t>Primary prototype areas</w:t>
            </w:r>
          </w:p>
        </w:tc>
        <w:tc>
          <w:tcPr>
            <w:tcW w:type="dxa" w:w="2304"/>
            <w:vAlign w:val="center"/>
            <w:tcMar>
              <w:top w:w="80" w:type="dxa"/>
              <w:start w:w="100" w:type="dxa"/>
              <w:bottom w:w="80" w:type="dxa"/>
              <w:end w:w="100" w:type="dxa"/>
            </w:tcMar>
            <w:shd w:fill="0B7070"/>
          </w:tcPr>
          <w:p>
            <w:pPr>
              <w:pStyle w:val="TableText"/>
              <w:spacing w:after="0"/>
            </w:pPr>
            <w:r>
              <w:rPr>
                <w:b/>
                <w:color w:val="FFFFFF"/>
              </w:rPr>
              <w:t>First screen after login</w:t>
            </w:r>
          </w:p>
        </w:tc>
      </w:tr>
      <w:tr>
        <w:trPr>
          <w:trHeight w:hRule="atLeast"/>
        </w:trPr>
        <w:tc>
          <w:tcPr>
            <w:tcW w:type="dxa" w:w="1728"/>
            <w:vAlign w:val="center"/>
            <w:tcMar>
              <w:top w:w="80" w:type="dxa"/>
              <w:start w:w="100" w:type="dxa"/>
              <w:bottom w:w="80" w:type="dxa"/>
              <w:end w:w="100" w:type="dxa"/>
            </w:tcMar>
          </w:tcPr>
          <w:p>
            <w:pPr>
              <w:pStyle w:val="TableText"/>
              <w:spacing w:after="0"/>
            </w:pPr>
            <w:r>
              <w:t>Sponsor</w:t>
            </w:r>
          </w:p>
        </w:tc>
        <w:tc>
          <w:tcPr>
            <w:tcW w:type="dxa" w:w="3168"/>
            <w:vAlign w:val="center"/>
            <w:tcMar>
              <w:top w:w="80" w:type="dxa"/>
              <w:start w:w="100" w:type="dxa"/>
              <w:bottom w:w="80" w:type="dxa"/>
              <w:end w:w="100" w:type="dxa"/>
            </w:tcMar>
          </w:tcPr>
          <w:p>
            <w:pPr>
              <w:pStyle w:val="TableText"/>
              <w:spacing w:after="0"/>
            </w:pPr>
            <w:r>
              <w:t>Find, evaluate, contract, and manage CDMO/CRO partners</w:t>
            </w:r>
          </w:p>
        </w:tc>
        <w:tc>
          <w:tcPr>
            <w:tcW w:type="dxa" w:w="4320"/>
            <w:vAlign w:val="center"/>
            <w:tcMar>
              <w:top w:w="80" w:type="dxa"/>
              <w:start w:w="100" w:type="dxa"/>
              <w:bottom w:w="80" w:type="dxa"/>
              <w:end w:w="100" w:type="dxa"/>
            </w:tcMar>
          </w:tcPr>
          <w:p>
            <w:pPr>
              <w:pStyle w:val="TableText"/>
              <w:spacing w:after="0"/>
            </w:pPr>
            <w:r>
              <w:t>Dashboard, Programmes, Search &amp; Match, RFPs, Projects, Intelligence, Documents</w:t>
            </w:r>
          </w:p>
        </w:tc>
        <w:tc>
          <w:tcPr>
            <w:tcW w:type="dxa" w:w="2304"/>
            <w:vAlign w:val="center"/>
            <w:tcMar>
              <w:top w:w="80" w:type="dxa"/>
              <w:start w:w="100" w:type="dxa"/>
              <w:bottom w:w="80" w:type="dxa"/>
              <w:end w:w="100" w:type="dxa"/>
            </w:tcMar>
          </w:tcPr>
          <w:p>
            <w:pPr>
              <w:pStyle w:val="TableText"/>
              <w:spacing w:after="0"/>
            </w:pPr>
            <w:r>
              <w:t>Sponsor dashboard</w:t>
            </w:r>
          </w:p>
        </w:tc>
      </w:tr>
      <w:tr>
        <w:trPr>
          <w:trHeight w:hRule="atLeast"/>
        </w:trPr>
        <w:tc>
          <w:tcPr>
            <w:tcW w:type="dxa" w:w="1728"/>
            <w:vAlign w:val="center"/>
            <w:tcMar>
              <w:top w:w="80" w:type="dxa"/>
              <w:start w:w="100" w:type="dxa"/>
              <w:bottom w:w="80" w:type="dxa"/>
              <w:end w:w="100" w:type="dxa"/>
            </w:tcMar>
            <w:shd w:fill="F7FAFC"/>
          </w:tcPr>
          <w:p>
            <w:pPr>
              <w:pStyle w:val="TableText"/>
              <w:spacing w:after="0"/>
            </w:pPr>
            <w:r>
              <w:t>CDMO</w:t>
            </w:r>
          </w:p>
        </w:tc>
        <w:tc>
          <w:tcPr>
            <w:tcW w:type="dxa" w:w="3168"/>
            <w:vAlign w:val="center"/>
            <w:tcMar>
              <w:top w:w="80" w:type="dxa"/>
              <w:start w:w="100" w:type="dxa"/>
              <w:bottom w:w="80" w:type="dxa"/>
              <w:end w:w="100" w:type="dxa"/>
            </w:tcMar>
            <w:shd w:fill="F7FAFC"/>
          </w:tcPr>
          <w:p>
            <w:pPr>
              <w:pStyle w:val="TableText"/>
              <w:spacing w:after="0"/>
            </w:pPr>
            <w:r>
              <w:t>Show manufacturing capability, maintain capacity, respond to RFPs, deliver projects</w:t>
            </w:r>
          </w:p>
        </w:tc>
        <w:tc>
          <w:tcPr>
            <w:tcW w:type="dxa" w:w="4320"/>
            <w:vAlign w:val="center"/>
            <w:tcMar>
              <w:top w:w="80" w:type="dxa"/>
              <w:start w:w="100" w:type="dxa"/>
              <w:bottom w:w="80" w:type="dxa"/>
              <w:end w:w="100" w:type="dxa"/>
            </w:tcMar>
            <w:shd w:fill="F7FAFC"/>
          </w:tcPr>
          <w:p>
            <w:pPr>
              <w:pStyle w:val="TableText"/>
              <w:spacing w:after="0"/>
            </w:pPr>
            <w:r>
              <w:t>Dashboard, Profile, Capabilities, Capacity, RFP Inbox, Projects, Billing</w:t>
            </w:r>
          </w:p>
        </w:tc>
        <w:tc>
          <w:tcPr>
            <w:tcW w:type="dxa" w:w="2304"/>
            <w:vAlign w:val="center"/>
            <w:tcMar>
              <w:top w:w="80" w:type="dxa"/>
              <w:start w:w="100" w:type="dxa"/>
              <w:bottom w:w="80" w:type="dxa"/>
              <w:end w:w="100" w:type="dxa"/>
            </w:tcMar>
            <w:shd w:fill="F7FAFC"/>
          </w:tcPr>
          <w:p>
            <w:pPr>
              <w:pStyle w:val="TableText"/>
              <w:spacing w:after="0"/>
            </w:pPr>
            <w:r>
              <w:t>CDMO dashboard</w:t>
            </w:r>
          </w:p>
        </w:tc>
      </w:tr>
      <w:tr>
        <w:trPr>
          <w:trHeight w:hRule="atLeast"/>
        </w:trPr>
        <w:tc>
          <w:tcPr>
            <w:tcW w:type="dxa" w:w="1728"/>
            <w:vAlign w:val="center"/>
            <w:tcMar>
              <w:top w:w="80" w:type="dxa"/>
              <w:start w:w="100" w:type="dxa"/>
              <w:bottom w:w="80" w:type="dxa"/>
              <w:end w:w="100" w:type="dxa"/>
            </w:tcMar>
          </w:tcPr>
          <w:p>
            <w:pPr>
              <w:pStyle w:val="TableText"/>
              <w:spacing w:after="0"/>
            </w:pPr>
            <w:r>
              <w:t>CRO</w:t>
            </w:r>
          </w:p>
        </w:tc>
        <w:tc>
          <w:tcPr>
            <w:tcW w:type="dxa" w:w="3168"/>
            <w:vAlign w:val="center"/>
            <w:tcMar>
              <w:top w:w="80" w:type="dxa"/>
              <w:start w:w="100" w:type="dxa"/>
              <w:bottom w:w="80" w:type="dxa"/>
              <w:end w:w="100" w:type="dxa"/>
            </w:tcMar>
          </w:tcPr>
          <w:p>
            <w:pPr>
              <w:pStyle w:val="TableText"/>
              <w:spacing w:after="0"/>
            </w:pPr>
            <w:r>
              <w:t>Show service pillars, accreditations, capacity, respond to RFPs, deliver studies</w:t>
            </w:r>
          </w:p>
        </w:tc>
        <w:tc>
          <w:tcPr>
            <w:tcW w:type="dxa" w:w="4320"/>
            <w:vAlign w:val="center"/>
            <w:tcMar>
              <w:top w:w="80" w:type="dxa"/>
              <w:start w:w="100" w:type="dxa"/>
              <w:bottom w:w="80" w:type="dxa"/>
              <w:end w:w="100" w:type="dxa"/>
            </w:tcMar>
          </w:tcPr>
          <w:p>
            <w:pPr>
              <w:pStyle w:val="TableText"/>
              <w:spacing w:after="0"/>
            </w:pPr>
            <w:r>
              <w:t>Dashboard, Profile, Services, Capacity, RFP Inbox, Projects</w:t>
            </w:r>
          </w:p>
        </w:tc>
        <w:tc>
          <w:tcPr>
            <w:tcW w:type="dxa" w:w="2304"/>
            <w:vAlign w:val="center"/>
            <w:tcMar>
              <w:top w:w="80" w:type="dxa"/>
              <w:start w:w="100" w:type="dxa"/>
              <w:bottom w:w="80" w:type="dxa"/>
              <w:end w:w="100" w:type="dxa"/>
            </w:tcMar>
          </w:tcPr>
          <w:p>
            <w:pPr>
              <w:pStyle w:val="TableText"/>
              <w:spacing w:after="0"/>
            </w:pPr>
            <w:r>
              <w:t>CRO dashboard</w:t>
            </w:r>
          </w:p>
        </w:tc>
      </w:tr>
      <w:tr>
        <w:trPr>
          <w:trHeight w:hRule="atLeast"/>
        </w:trPr>
        <w:tc>
          <w:tcPr>
            <w:tcW w:type="dxa" w:w="1728"/>
            <w:vAlign w:val="center"/>
            <w:tcMar>
              <w:top w:w="80" w:type="dxa"/>
              <w:start w:w="100" w:type="dxa"/>
              <w:bottom w:w="80" w:type="dxa"/>
              <w:end w:w="100" w:type="dxa"/>
            </w:tcMar>
            <w:shd w:fill="F7FAFC"/>
          </w:tcPr>
          <w:p>
            <w:pPr>
              <w:pStyle w:val="TableText"/>
              <w:spacing w:after="0"/>
            </w:pPr>
            <w:r>
              <w:t>Admin / Compliance</w:t>
            </w:r>
          </w:p>
        </w:tc>
        <w:tc>
          <w:tcPr>
            <w:tcW w:type="dxa" w:w="3168"/>
            <w:vAlign w:val="center"/>
            <w:tcMar>
              <w:top w:w="80" w:type="dxa"/>
              <w:start w:w="100" w:type="dxa"/>
              <w:bottom w:w="80" w:type="dxa"/>
              <w:end w:w="100" w:type="dxa"/>
            </w:tcMar>
            <w:shd w:fill="F7FAFC"/>
          </w:tcPr>
          <w:p>
            <w:pPr>
              <w:pStyle w:val="TableText"/>
              <w:spacing w:after="0"/>
            </w:pPr>
            <w:r>
              <w:t>Verify organisations, manage certificates, disputes, fraud, intelligence QA</w:t>
            </w:r>
          </w:p>
        </w:tc>
        <w:tc>
          <w:tcPr>
            <w:tcW w:type="dxa" w:w="4320"/>
            <w:vAlign w:val="center"/>
            <w:tcMar>
              <w:top w:w="80" w:type="dxa"/>
              <w:start w:w="100" w:type="dxa"/>
              <w:bottom w:w="80" w:type="dxa"/>
              <w:end w:w="100" w:type="dxa"/>
            </w:tcMar>
            <w:shd w:fill="F7FAFC"/>
          </w:tcPr>
          <w:p>
            <w:pPr>
              <w:pStyle w:val="TableText"/>
              <w:spacing w:after="0"/>
            </w:pPr>
            <w:r>
              <w:t>Ops dashboard, Review queues, Audit tools, Disputes, User admin</w:t>
            </w:r>
          </w:p>
        </w:tc>
        <w:tc>
          <w:tcPr>
            <w:tcW w:type="dxa" w:w="2304"/>
            <w:vAlign w:val="center"/>
            <w:tcMar>
              <w:top w:w="80" w:type="dxa"/>
              <w:start w:w="100" w:type="dxa"/>
              <w:bottom w:w="80" w:type="dxa"/>
              <w:end w:w="100" w:type="dxa"/>
            </w:tcMar>
            <w:shd w:fill="F7FAFC"/>
          </w:tcPr>
          <w:p>
            <w:pPr>
              <w:pStyle w:val="TableText"/>
              <w:spacing w:after="0"/>
            </w:pPr>
            <w:r>
              <w:t>Admin overview</w:t>
            </w:r>
          </w:p>
        </w:tc>
      </w:tr>
    </w:tbl>
    <w:p/>
    <w:p>
      <w:pPr>
        <w:pStyle w:val="SectionPB"/>
      </w:pPr>
      <w:r>
        <w:t>5. Experience Architecture</w:t>
      </w:r>
    </w:p>
    <w:p>
      <w:pPr/>
      <w:r>
        <w:t>The product should be organized into four top-level shells.</w:t>
      </w:r>
    </w:p>
    <w:p>
      <w:pPr>
        <w:ind w:left="173" w:hanging="173"/>
      </w:pPr>
      <w:r>
        <w:rPr>
          <w:b/>
        </w:rPr>
        <w:t xml:space="preserve">1. </w:t>
      </w:r>
      <w:r>
        <w:t>Public marketing shell: trust-building pages, product overview, role-specific positioning, pricing, contact, and conversion.</w:t>
      </w:r>
    </w:p>
    <w:p>
      <w:pPr>
        <w:ind w:left="173" w:hanging="173"/>
      </w:pPr>
      <w:r>
        <w:rPr>
          <w:b/>
        </w:rPr>
        <w:t xml:space="preserve">2. </w:t>
      </w:r>
      <w:r>
        <w:t>Onboarding shell: multi-step role-based registration and profile completion for Sponsor, CDMO, and CRO.</w:t>
      </w:r>
    </w:p>
    <w:p>
      <w:pPr>
        <w:ind w:left="173" w:hanging="173"/>
      </w:pPr>
      <w:r>
        <w:rPr>
          <w:b/>
        </w:rPr>
        <w:t xml:space="preserve">3. </w:t>
      </w:r>
      <w:r>
        <w:t>Authenticated product shell: separate application experiences for Sponsor, CDMO, and CRO.</w:t>
      </w:r>
    </w:p>
    <w:p>
      <w:pPr>
        <w:ind w:left="173" w:hanging="173"/>
      </w:pPr>
      <w:r>
        <w:rPr>
          <w:b/>
        </w:rPr>
        <w:t xml:space="preserve">4. </w:t>
      </w:r>
      <w:r>
        <w:t>Internal operations shell: admin/compliance console for review, verification, disputes, and intelligence QA.</w:t>
      </w:r>
    </w:p>
    <w:tbl>
      <w:tblPr>
        <w:tblW w:type="auto" w:w="0"/>
        <w:jc w:val="center"/>
        <w:tblLook w:firstColumn="1" w:firstRow="1" w:lastColumn="0" w:lastRow="0" w:noHBand="0" w:noVBand="1" w:val="04A0"/>
      </w:tblPr>
      <w:tblGrid>
        <w:gridCol w:w="9936"/>
      </w:tblGrid>
      <w:tr>
        <w:tc>
          <w:tcPr>
            <w:tcW w:type="dxa" w:w="9936"/>
            <w:shd w:fill="EEF7F6"/>
            <w:tcMar>
              <w:top w:w="120" w:type="dxa"/>
              <w:start w:w="160" w:type="dxa"/>
              <w:bottom w:w="120" w:type="dxa"/>
              <w:end w:w="160" w:type="dxa"/>
            </w:tcMar>
          </w:tcPr>
          <w:p>
            <w:pPr>
              <w:pStyle w:val="CalloutPB"/>
            </w:pPr>
            <w:r>
              <w:rPr>
                <w:b/>
                <w:color w:val="085050"/>
              </w:rPr>
              <w:t xml:space="preserve">Important implementation rule. </w:t>
            </w:r>
            <w:r>
              <w:t>Use separate app shells rather than one monolithic page tree. Codex should build a shared design system and shared layout primitives, but navigation, dashboard priorities, and page hierarchy must differ by role.</w:t>
            </w:r>
          </w:p>
        </w:tc>
      </w:tr>
    </w:tbl>
    <w:p/>
    <w:p>
      <w:pPr>
        <w:pStyle w:val="SectionPB"/>
      </w:pPr>
      <w:r>
        <w:t>6. Public Website Information Architecture</w:t>
      </w:r>
    </w:p>
    <w:p>
      <w:pPr>
        <w:pStyle w:val="SubsectionPB"/>
      </w:pPr>
      <w:r>
        <w:t>Minimum public pages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3024"/>
            <w:vAlign w:val="center"/>
            <w:tcMar>
              <w:top w:w="80" w:type="dxa"/>
              <w:start w:w="100" w:type="dxa"/>
              <w:bottom w:w="80" w:type="dxa"/>
              <w:end w:w="100" w:type="dxa"/>
            </w:tcMar>
            <w:shd w:fill="0B7070"/>
          </w:tcPr>
          <w:p>
            <w:pPr>
              <w:pStyle w:val="TableText"/>
              <w:spacing w:after="0"/>
            </w:pPr>
            <w:r>
              <w:rPr>
                <w:b/>
                <w:color w:val="FFFFFF"/>
              </w:rPr>
              <w:t>Page</w:t>
            </w:r>
          </w:p>
        </w:tc>
        <w:tc>
          <w:tcPr>
            <w:tcW w:type="dxa" w:w="8496"/>
            <w:vAlign w:val="center"/>
            <w:tcMar>
              <w:top w:w="80" w:type="dxa"/>
              <w:start w:w="100" w:type="dxa"/>
              <w:bottom w:w="80" w:type="dxa"/>
              <w:end w:w="100" w:type="dxa"/>
            </w:tcMar>
            <w:shd w:fill="0B7070"/>
          </w:tcPr>
          <w:p>
            <w:pPr>
              <w:pStyle w:val="TableText"/>
              <w:spacing w:after="0"/>
            </w:pPr>
            <w:r>
              <w:rPr>
                <w:b/>
                <w:color w:val="FFFFFF"/>
              </w:rPr>
              <w:t>Purpose in prototype</w:t>
            </w:r>
          </w:p>
        </w:tc>
      </w:tr>
      <w:tr>
        <w:trPr>
          <w:trHeight w:hRule="atLeast"/>
        </w:trPr>
        <w:tc>
          <w:tcPr>
            <w:tcW w:type="dxa" w:w="3024"/>
            <w:vAlign w:val="center"/>
            <w:tcMar>
              <w:top w:w="80" w:type="dxa"/>
              <w:start w:w="100" w:type="dxa"/>
              <w:bottom w:w="80" w:type="dxa"/>
              <w:end w:w="100" w:type="dxa"/>
            </w:tcMar>
          </w:tcPr>
          <w:p>
            <w:pPr>
              <w:pStyle w:val="TableText"/>
              <w:spacing w:after="0"/>
            </w:pPr>
            <w:r>
              <w:t>Home</w:t>
            </w:r>
          </w:p>
        </w:tc>
        <w:tc>
          <w:tcPr>
            <w:tcW w:type="dxa" w:w="8496"/>
            <w:vAlign w:val="center"/>
            <w:tcMar>
              <w:top w:w="80" w:type="dxa"/>
              <w:start w:w="100" w:type="dxa"/>
              <w:bottom w:w="80" w:type="dxa"/>
              <w:end w:w="100" w:type="dxa"/>
            </w:tcMar>
          </w:tcPr>
          <w:p>
            <w:pPr>
              <w:pStyle w:val="TableText"/>
              <w:spacing w:after="0"/>
            </w:pPr>
            <w:r>
              <w:t>High-level value proposition, stats, modalities, product pillars, trust markers, and conversion CTAs</w:t>
            </w:r>
          </w:p>
        </w:tc>
      </w:tr>
      <w:tr>
        <w:trPr>
          <w:trHeight w:hRule="atLeast"/>
        </w:trPr>
        <w:tc>
          <w:tcPr>
            <w:tcW w:type="dxa" w:w="3024"/>
            <w:vAlign w:val="center"/>
            <w:tcMar>
              <w:top w:w="80" w:type="dxa"/>
              <w:start w:w="100" w:type="dxa"/>
              <w:bottom w:w="80" w:type="dxa"/>
              <w:end w:w="100" w:type="dxa"/>
            </w:tcMar>
            <w:shd w:fill="F7FAFC"/>
          </w:tcPr>
          <w:p>
            <w:pPr>
              <w:pStyle w:val="TableText"/>
              <w:spacing w:after="0"/>
            </w:pPr>
            <w:r>
              <w:t>How it Works</w:t>
            </w:r>
          </w:p>
        </w:tc>
        <w:tc>
          <w:tcPr>
            <w:tcW w:type="dxa" w:w="8496"/>
            <w:vAlign w:val="center"/>
            <w:tcMar>
              <w:top w:w="80" w:type="dxa"/>
              <w:start w:w="100" w:type="dxa"/>
              <w:bottom w:w="80" w:type="dxa"/>
              <w:end w:w="100" w:type="dxa"/>
            </w:tcMar>
            <w:shd w:fill="F7FAFC"/>
          </w:tcPr>
          <w:p>
            <w:pPr>
              <w:pStyle w:val="TableText"/>
              <w:spacing w:after="0"/>
            </w:pPr>
            <w:r>
              <w:t>Simple end-to-end explanation of discovery, matching, RFP, selection, and project execution</w:t>
            </w:r>
          </w:p>
        </w:tc>
      </w:tr>
      <w:tr>
        <w:trPr>
          <w:trHeight w:hRule="atLeast"/>
        </w:trPr>
        <w:tc>
          <w:tcPr>
            <w:tcW w:type="dxa" w:w="3024"/>
            <w:vAlign w:val="center"/>
            <w:tcMar>
              <w:top w:w="80" w:type="dxa"/>
              <w:start w:w="100" w:type="dxa"/>
              <w:bottom w:w="80" w:type="dxa"/>
              <w:end w:w="100" w:type="dxa"/>
            </w:tcMar>
          </w:tcPr>
          <w:p>
            <w:pPr>
              <w:pStyle w:val="TableText"/>
              <w:spacing w:after="0"/>
            </w:pPr>
            <w:r>
              <w:t>Sponsor Solution</w:t>
            </w:r>
          </w:p>
        </w:tc>
        <w:tc>
          <w:tcPr>
            <w:tcW w:type="dxa" w:w="8496"/>
            <w:vAlign w:val="center"/>
            <w:tcMar>
              <w:top w:w="80" w:type="dxa"/>
              <w:start w:w="100" w:type="dxa"/>
              <w:bottom w:w="80" w:type="dxa"/>
              <w:end w:w="100" w:type="dxa"/>
            </w:tcMar>
          </w:tcPr>
          <w:p>
            <w:pPr>
              <w:pStyle w:val="TableText"/>
              <w:spacing w:after="0"/>
            </w:pPr>
            <w:r>
              <w:t>Why sponsors use PharmaBridge, supported modalities, intelligence and risk-reduction value</w:t>
            </w:r>
          </w:p>
        </w:tc>
      </w:tr>
      <w:tr>
        <w:trPr>
          <w:trHeight w:hRule="atLeast"/>
        </w:trPr>
        <w:tc>
          <w:tcPr>
            <w:tcW w:type="dxa" w:w="3024"/>
            <w:vAlign w:val="center"/>
            <w:tcMar>
              <w:top w:w="80" w:type="dxa"/>
              <w:start w:w="100" w:type="dxa"/>
              <w:bottom w:w="80" w:type="dxa"/>
              <w:end w:w="100" w:type="dxa"/>
            </w:tcMar>
            <w:shd w:fill="F7FAFC"/>
          </w:tcPr>
          <w:p>
            <w:pPr>
              <w:pStyle w:val="TableText"/>
              <w:spacing w:after="0"/>
            </w:pPr>
            <w:r>
              <w:t>CDMO Solution</w:t>
            </w:r>
          </w:p>
        </w:tc>
        <w:tc>
          <w:tcPr>
            <w:tcW w:type="dxa" w:w="8496"/>
            <w:vAlign w:val="center"/>
            <w:tcMar>
              <w:top w:w="80" w:type="dxa"/>
              <w:start w:w="100" w:type="dxa"/>
              <w:bottom w:w="80" w:type="dxa"/>
              <w:end w:w="100" w:type="dxa"/>
            </w:tcMar>
            <w:shd w:fill="F7FAFC"/>
          </w:tcPr>
          <w:p>
            <w:pPr>
              <w:pStyle w:val="TableText"/>
              <w:spacing w:after="0"/>
            </w:pPr>
            <w:r>
              <w:t>Vendor-side value: visibility, RFP access, capacity monetization, and score credibility</w:t>
            </w:r>
          </w:p>
        </w:tc>
      </w:tr>
      <w:tr>
        <w:trPr>
          <w:trHeight w:hRule="atLeast"/>
        </w:trPr>
        <w:tc>
          <w:tcPr>
            <w:tcW w:type="dxa" w:w="3024"/>
            <w:vAlign w:val="center"/>
            <w:tcMar>
              <w:top w:w="80" w:type="dxa"/>
              <w:start w:w="100" w:type="dxa"/>
              <w:bottom w:w="80" w:type="dxa"/>
              <w:end w:w="100" w:type="dxa"/>
            </w:tcMar>
          </w:tcPr>
          <w:p>
            <w:pPr>
              <w:pStyle w:val="TableText"/>
              <w:spacing w:after="0"/>
            </w:pPr>
            <w:r>
              <w:t>CRO Solution</w:t>
            </w:r>
          </w:p>
        </w:tc>
        <w:tc>
          <w:tcPr>
            <w:tcW w:type="dxa" w:w="8496"/>
            <w:vAlign w:val="center"/>
            <w:tcMar>
              <w:top w:w="80" w:type="dxa"/>
              <w:start w:w="100" w:type="dxa"/>
              <w:bottom w:w="80" w:type="dxa"/>
              <w:end w:w="100" w:type="dxa"/>
            </w:tcMar>
          </w:tcPr>
          <w:p>
            <w:pPr>
              <w:pStyle w:val="TableText"/>
              <w:spacing w:after="0"/>
            </w:pPr>
            <w:r>
              <w:t>Research partner positioning, service pillar discovery, and sponsor introduction flow</w:t>
            </w:r>
          </w:p>
        </w:tc>
      </w:tr>
      <w:tr>
        <w:trPr>
          <w:trHeight w:hRule="atLeast"/>
        </w:trPr>
        <w:tc>
          <w:tcPr>
            <w:tcW w:type="dxa" w:w="3024"/>
            <w:vAlign w:val="center"/>
            <w:tcMar>
              <w:top w:w="80" w:type="dxa"/>
              <w:start w:w="100" w:type="dxa"/>
              <w:bottom w:w="80" w:type="dxa"/>
              <w:end w:w="100" w:type="dxa"/>
            </w:tcMar>
            <w:shd w:fill="F7FAFC"/>
          </w:tcPr>
          <w:p>
            <w:pPr>
              <w:pStyle w:val="TableText"/>
              <w:spacing w:after="0"/>
            </w:pPr>
            <w:r>
              <w:t>Intelligence Overview</w:t>
            </w:r>
          </w:p>
        </w:tc>
        <w:tc>
          <w:tcPr>
            <w:tcW w:type="dxa" w:w="8496"/>
            <w:vAlign w:val="center"/>
            <w:tcMar>
              <w:top w:w="80" w:type="dxa"/>
              <w:start w:w="100" w:type="dxa"/>
              <w:bottom w:w="80" w:type="dxa"/>
              <w:end w:w="100" w:type="dxa"/>
            </w:tcMar>
            <w:shd w:fill="F7FAFC"/>
          </w:tcPr>
          <w:p>
            <w:pPr>
              <w:pStyle w:val="TableText"/>
              <w:spacing w:after="0"/>
            </w:pPr>
            <w:r>
              <w:t>Why intelligence matters, alerts types, modality reports, and examples</w:t>
            </w:r>
          </w:p>
        </w:tc>
      </w:tr>
      <w:tr>
        <w:trPr>
          <w:trHeight w:hRule="atLeast"/>
        </w:trPr>
        <w:tc>
          <w:tcPr>
            <w:tcW w:type="dxa" w:w="3024"/>
            <w:vAlign w:val="center"/>
            <w:tcMar>
              <w:top w:w="80" w:type="dxa"/>
              <w:start w:w="100" w:type="dxa"/>
              <w:bottom w:w="80" w:type="dxa"/>
              <w:end w:w="100" w:type="dxa"/>
            </w:tcMar>
          </w:tcPr>
          <w:p>
            <w:pPr>
              <w:pStyle w:val="TableText"/>
              <w:spacing w:after="0"/>
            </w:pPr>
            <w:r>
              <w:t>RFP Builder Overview</w:t>
            </w:r>
          </w:p>
        </w:tc>
        <w:tc>
          <w:tcPr>
            <w:tcW w:type="dxa" w:w="8496"/>
            <w:vAlign w:val="center"/>
            <w:tcMar>
              <w:top w:w="80" w:type="dxa"/>
              <w:start w:w="100" w:type="dxa"/>
              <w:bottom w:w="80" w:type="dxa"/>
              <w:end w:w="100" w:type="dxa"/>
            </w:tcMar>
          </w:tcPr>
          <w:p>
            <w:pPr>
              <w:pStyle w:val="TableText"/>
              <w:spacing w:after="0"/>
            </w:pPr>
            <w:r>
              <w:t>Explain structured RFP creation and vendor response workflow</w:t>
            </w:r>
          </w:p>
        </w:tc>
      </w:tr>
      <w:tr>
        <w:trPr>
          <w:trHeight w:hRule="atLeast"/>
        </w:trPr>
        <w:tc>
          <w:tcPr>
            <w:tcW w:type="dxa" w:w="3024"/>
            <w:vAlign w:val="center"/>
            <w:tcMar>
              <w:top w:w="80" w:type="dxa"/>
              <w:start w:w="100" w:type="dxa"/>
              <w:bottom w:w="80" w:type="dxa"/>
              <w:end w:w="100" w:type="dxa"/>
            </w:tcMar>
            <w:shd w:fill="F7FAFC"/>
          </w:tcPr>
          <w:p>
            <w:pPr>
              <w:pStyle w:val="TableText"/>
              <w:spacing w:after="0"/>
            </w:pPr>
            <w:r>
              <w:t>CRDMO Score Overview</w:t>
            </w:r>
          </w:p>
        </w:tc>
        <w:tc>
          <w:tcPr>
            <w:tcW w:type="dxa" w:w="8496"/>
            <w:vAlign w:val="center"/>
            <w:tcMar>
              <w:top w:w="80" w:type="dxa"/>
              <w:start w:w="100" w:type="dxa"/>
              <w:bottom w:w="80" w:type="dxa"/>
              <w:end w:w="100" w:type="dxa"/>
            </w:tcMar>
            <w:shd w:fill="F7FAFC"/>
          </w:tcPr>
          <w:p>
            <w:pPr>
              <w:pStyle w:val="TableText"/>
              <w:spacing w:after="0"/>
            </w:pPr>
            <w:r>
              <w:t>Explain trust score, dimensions, and why it matters in selection</w:t>
            </w:r>
          </w:p>
        </w:tc>
      </w:tr>
      <w:tr>
        <w:trPr>
          <w:trHeight w:hRule="atLeast"/>
        </w:trPr>
        <w:tc>
          <w:tcPr>
            <w:tcW w:type="dxa" w:w="3024"/>
            <w:vAlign w:val="center"/>
            <w:tcMar>
              <w:top w:w="80" w:type="dxa"/>
              <w:start w:w="100" w:type="dxa"/>
              <w:bottom w:w="80" w:type="dxa"/>
              <w:end w:w="100" w:type="dxa"/>
            </w:tcMar>
          </w:tcPr>
          <w:p>
            <w:pPr>
              <w:pStyle w:val="TableText"/>
              <w:spacing w:after="0"/>
            </w:pPr>
            <w:r>
              <w:t>Pricing</w:t>
            </w:r>
          </w:p>
        </w:tc>
        <w:tc>
          <w:tcPr>
            <w:tcW w:type="dxa" w:w="8496"/>
            <w:vAlign w:val="center"/>
            <w:tcMar>
              <w:top w:w="80" w:type="dxa"/>
              <w:start w:w="100" w:type="dxa"/>
              <w:bottom w:w="80" w:type="dxa"/>
              <w:end w:w="100" w:type="dxa"/>
            </w:tcMar>
          </w:tcPr>
          <w:p>
            <w:pPr>
              <w:pStyle w:val="TableText"/>
              <w:spacing w:after="0"/>
            </w:pPr>
            <w:r>
              <w:t>Starter/Pro/Enterprise presentation with clear feature tiers</w:t>
            </w:r>
          </w:p>
        </w:tc>
      </w:tr>
      <w:tr>
        <w:trPr>
          <w:trHeight w:hRule="atLeast"/>
        </w:trPr>
        <w:tc>
          <w:tcPr>
            <w:tcW w:type="dxa" w:w="3024"/>
            <w:vAlign w:val="center"/>
            <w:tcMar>
              <w:top w:w="80" w:type="dxa"/>
              <w:start w:w="100" w:type="dxa"/>
              <w:bottom w:w="80" w:type="dxa"/>
              <w:end w:w="100" w:type="dxa"/>
            </w:tcMar>
            <w:shd w:fill="F7FAFC"/>
          </w:tcPr>
          <w:p>
            <w:pPr>
              <w:pStyle w:val="TableText"/>
              <w:spacing w:after="0"/>
            </w:pPr>
            <w:r>
              <w:t>About</w:t>
            </w:r>
          </w:p>
        </w:tc>
        <w:tc>
          <w:tcPr>
            <w:tcW w:type="dxa" w:w="8496"/>
            <w:vAlign w:val="center"/>
            <w:tcMar>
              <w:top w:w="80" w:type="dxa"/>
              <w:start w:w="100" w:type="dxa"/>
              <w:bottom w:w="80" w:type="dxa"/>
              <w:end w:w="100" w:type="dxa"/>
            </w:tcMar>
            <w:shd w:fill="F7FAFC"/>
          </w:tcPr>
          <w:p>
            <w:pPr>
              <w:pStyle w:val="TableText"/>
              <w:spacing w:after="0"/>
            </w:pPr>
            <w:r>
              <w:t>Mission, founders/team, platform purpose, market thesis</w:t>
            </w:r>
          </w:p>
        </w:tc>
      </w:tr>
      <w:tr>
        <w:trPr>
          <w:trHeight w:hRule="atLeast"/>
        </w:trPr>
        <w:tc>
          <w:tcPr>
            <w:tcW w:type="dxa" w:w="3024"/>
            <w:vAlign w:val="center"/>
            <w:tcMar>
              <w:top w:w="80" w:type="dxa"/>
              <w:start w:w="100" w:type="dxa"/>
              <w:bottom w:w="80" w:type="dxa"/>
              <w:end w:w="100" w:type="dxa"/>
            </w:tcMar>
          </w:tcPr>
          <w:p>
            <w:pPr>
              <w:pStyle w:val="TableText"/>
              <w:spacing w:after="0"/>
            </w:pPr>
            <w:r>
              <w:t>Contact / Book Demo</w:t>
            </w:r>
          </w:p>
        </w:tc>
        <w:tc>
          <w:tcPr>
            <w:tcW w:type="dxa" w:w="8496"/>
            <w:vAlign w:val="center"/>
            <w:tcMar>
              <w:top w:w="80" w:type="dxa"/>
              <w:start w:w="100" w:type="dxa"/>
              <w:bottom w:w="80" w:type="dxa"/>
              <w:end w:w="100" w:type="dxa"/>
            </w:tcMar>
          </w:tcPr>
          <w:p>
            <w:pPr>
              <w:pStyle w:val="TableText"/>
              <w:spacing w:after="0"/>
            </w:pPr>
            <w:r>
              <w:t>Lead capture with clear sales intent</w:t>
            </w:r>
          </w:p>
        </w:tc>
      </w:tr>
      <w:tr>
        <w:trPr>
          <w:trHeight w:hRule="atLeast"/>
        </w:trPr>
        <w:tc>
          <w:tcPr>
            <w:tcW w:type="dxa" w:w="3024"/>
            <w:vAlign w:val="center"/>
            <w:tcMar>
              <w:top w:w="80" w:type="dxa"/>
              <w:start w:w="100" w:type="dxa"/>
              <w:bottom w:w="80" w:type="dxa"/>
              <w:end w:w="100" w:type="dxa"/>
            </w:tcMar>
            <w:shd w:fill="F7FAFC"/>
          </w:tcPr>
          <w:p>
            <w:pPr>
              <w:pStyle w:val="TableText"/>
              <w:spacing w:after="0"/>
            </w:pPr>
            <w:r>
              <w:t>Trust / Security / Compliance</w:t>
            </w:r>
          </w:p>
        </w:tc>
        <w:tc>
          <w:tcPr>
            <w:tcW w:type="dxa" w:w="8496"/>
            <w:vAlign w:val="center"/>
            <w:tcMar>
              <w:top w:w="80" w:type="dxa"/>
              <w:start w:w="100" w:type="dxa"/>
              <w:bottom w:w="80" w:type="dxa"/>
              <w:end w:w="100" w:type="dxa"/>
            </w:tcMar>
            <w:shd w:fill="F7FAFC"/>
          </w:tcPr>
          <w:p>
            <w:pPr>
              <w:pStyle w:val="TableText"/>
              <w:spacing w:after="0"/>
            </w:pPr>
            <w:r>
              <w:t>Verification, document handling, access control, and audit trail messaging</w:t>
            </w:r>
          </w:p>
        </w:tc>
      </w:tr>
    </w:tbl>
    <w:p/>
    <w:p>
      <w:pPr>
        <w:pStyle w:val="SubsectionPB"/>
      </w:pPr>
      <w:r>
        <w:t>Public navigation</w:t>
      </w:r>
    </w:p>
    <w:p>
      <w:pPr>
        <w:ind w:left="259" w:hanging="173"/>
      </w:pPr>
      <w:r>
        <w:rPr>
          <w:b/>
        </w:rPr>
        <w:t xml:space="preserve">• </w:t>
      </w:r>
      <w:r>
        <w:t>Platform</w:t>
      </w:r>
    </w:p>
    <w:p>
      <w:pPr>
        <w:ind w:left="259" w:hanging="173"/>
      </w:pPr>
      <w:r>
        <w:rPr>
          <w:b/>
        </w:rPr>
        <w:t xml:space="preserve">• </w:t>
      </w:r>
      <w:r>
        <w:t>Solutions</w:t>
      </w:r>
    </w:p>
    <w:p>
      <w:pPr>
        <w:ind w:left="259" w:hanging="173"/>
      </w:pPr>
      <w:r>
        <w:rPr>
          <w:b/>
        </w:rPr>
        <w:t xml:space="preserve">• </w:t>
      </w:r>
      <w:r>
        <w:t>Intelligence</w:t>
      </w:r>
    </w:p>
    <w:p>
      <w:pPr>
        <w:ind w:left="259" w:hanging="173"/>
      </w:pPr>
      <w:r>
        <w:rPr>
          <w:b/>
        </w:rPr>
        <w:t xml:space="preserve">• </w:t>
      </w:r>
      <w:r>
        <w:t>Pricing</w:t>
      </w:r>
    </w:p>
    <w:p>
      <w:pPr>
        <w:ind w:left="259" w:hanging="173"/>
      </w:pPr>
      <w:r>
        <w:rPr>
          <w:b/>
        </w:rPr>
        <w:t xml:space="preserve">• </w:t>
      </w:r>
      <w:r>
        <w:t>About</w:t>
      </w:r>
    </w:p>
    <w:p>
      <w:pPr>
        <w:ind w:left="259" w:hanging="173"/>
      </w:pPr>
      <w:r>
        <w:rPr>
          <w:b/>
        </w:rPr>
        <w:t xml:space="preserve">• </w:t>
      </w:r>
      <w:r>
        <w:t>Sign in</w:t>
      </w:r>
    </w:p>
    <w:p>
      <w:pPr>
        <w:ind w:left="259" w:hanging="173"/>
      </w:pPr>
      <w:r>
        <w:rPr>
          <w:b/>
        </w:rPr>
        <w:t xml:space="preserve">• </w:t>
      </w:r>
      <w:r>
        <w:t>Book demo / Get started</w:t>
      </w:r>
    </w:p>
    <w:p>
      <w:pPr>
        <w:pStyle w:val="SectionPB"/>
      </w:pPr>
      <w:r>
        <w:t>7. Onboarding Scope</w:t>
      </w:r>
    </w:p>
    <w:p>
      <w:pPr/>
      <w:r>
        <w:t>The onboarding references already suggest a rich, role-aware wizard with progress tracking, grouped sections, file uploads, and a polished dark UI. Codex should treat onboarding as one of the most important prototype areas because it sets the tone for platform maturity.</w:t>
      </w:r>
    </w:p>
    <w:p>
      <w:pPr>
        <w:pStyle w:val="SubsectionPB"/>
      </w:pPr>
      <w:r>
        <w:t>Onboarding screens</w:t>
      </w:r>
    </w:p>
    <w:p>
      <w:pPr>
        <w:ind w:left="259" w:hanging="173"/>
      </w:pPr>
      <w:r>
        <w:rPr>
          <w:b/>
        </w:rPr>
        <w:t xml:space="preserve">• </w:t>
      </w:r>
      <w:r>
        <w:t>Role selection</w:t>
      </w:r>
    </w:p>
    <w:p>
      <w:pPr>
        <w:ind w:left="259" w:hanging="173"/>
      </w:pPr>
      <w:r>
        <w:rPr>
          <w:b/>
        </w:rPr>
        <w:t xml:space="preserve">• </w:t>
      </w:r>
      <w:r>
        <w:t>Account creation / sign in</w:t>
      </w:r>
    </w:p>
    <w:p>
      <w:pPr>
        <w:ind w:left="259" w:hanging="173"/>
      </w:pPr>
      <w:r>
        <w:rPr>
          <w:b/>
        </w:rPr>
        <w:t xml:space="preserve">• </w:t>
      </w:r>
      <w:r>
        <w:t>Sponsor onboarding wizard</w:t>
      </w:r>
    </w:p>
    <w:p>
      <w:pPr>
        <w:ind w:left="259" w:hanging="173"/>
      </w:pPr>
      <w:r>
        <w:rPr>
          <w:b/>
        </w:rPr>
        <w:t xml:space="preserve">• </w:t>
      </w:r>
      <w:r>
        <w:t>CDMO onboarding wizard</w:t>
      </w:r>
    </w:p>
    <w:p>
      <w:pPr>
        <w:ind w:left="259" w:hanging="173"/>
      </w:pPr>
      <w:r>
        <w:rPr>
          <w:b/>
        </w:rPr>
        <w:t xml:space="preserve">• </w:t>
      </w:r>
      <w:r>
        <w:t>CRO onboarding wizard</w:t>
      </w:r>
    </w:p>
    <w:p>
      <w:pPr>
        <w:ind w:left="259" w:hanging="173"/>
      </w:pPr>
      <w:r>
        <w:rPr>
          <w:b/>
        </w:rPr>
        <w:t xml:space="preserve">• </w:t>
      </w:r>
      <w:r>
        <w:t>Submission success state</w:t>
      </w:r>
    </w:p>
    <w:p>
      <w:pPr>
        <w:ind w:left="259" w:hanging="173"/>
      </w:pPr>
      <w:r>
        <w:rPr>
          <w:b/>
        </w:rPr>
        <w:t xml:space="preserve">• </w:t>
      </w:r>
      <w:r>
        <w:t>Verification pending state</w:t>
      </w:r>
    </w:p>
    <w:p>
      <w:pPr>
        <w:ind w:left="259" w:hanging="173"/>
      </w:pPr>
      <w:r>
        <w:rPr>
          <w:b/>
        </w:rPr>
        <w:t xml:space="preserve">• </w:t>
      </w:r>
      <w:r>
        <w:t>Needs action / discrepancy state</w:t>
      </w:r>
    </w:p>
    <w:p>
      <w:pPr>
        <w:pStyle w:val="SubsectionPB"/>
      </w:pPr>
      <w:r>
        <w:t>Sponsor onboarding fields</w:t>
      </w:r>
    </w:p>
    <w:p>
      <w:pPr>
        <w:ind w:left="259" w:hanging="173"/>
      </w:pPr>
      <w:r>
        <w:rPr>
          <w:b/>
        </w:rPr>
        <w:t xml:space="preserve">• </w:t>
      </w:r>
      <w:r>
        <w:t>Company identity and legal details</w:t>
      </w:r>
    </w:p>
    <w:p>
      <w:pPr>
        <w:ind w:left="259" w:hanging="173"/>
      </w:pPr>
      <w:r>
        <w:rPr>
          <w:b/>
        </w:rPr>
        <w:t xml:space="preserve">• </w:t>
      </w:r>
      <w:r>
        <w:t>Primary contact verification</w:t>
      </w:r>
    </w:p>
    <w:p>
      <w:pPr>
        <w:ind w:left="259" w:hanging="173"/>
      </w:pPr>
      <w:r>
        <w:rPr>
          <w:b/>
        </w:rPr>
        <w:t xml:space="preserve">• </w:t>
      </w:r>
      <w:r>
        <w:t>Pipeline and modality selection</w:t>
      </w:r>
    </w:p>
    <w:p>
      <w:pPr>
        <w:ind w:left="259" w:hanging="173"/>
      </w:pPr>
      <w:r>
        <w:rPr>
          <w:b/>
        </w:rPr>
        <w:t xml:space="preserve">• </w:t>
      </w:r>
      <w:r>
        <w:t>CDMO and CRO service requirements</w:t>
      </w:r>
    </w:p>
    <w:p>
      <w:pPr>
        <w:ind w:left="259" w:hanging="173"/>
      </w:pPr>
      <w:r>
        <w:rPr>
          <w:b/>
        </w:rPr>
        <w:t xml:space="preserve">• </w:t>
      </w:r>
      <w:r>
        <w:t>Quality and governance preferences</w:t>
      </w:r>
    </w:p>
    <w:p>
      <w:pPr>
        <w:ind w:left="259" w:hanging="173"/>
      </w:pPr>
      <w:r>
        <w:rPr>
          <w:b/>
        </w:rPr>
        <w:t xml:space="preserve">• </w:t>
      </w:r>
      <w:r>
        <w:t>Commercial and legal preferences</w:t>
      </w:r>
    </w:p>
    <w:p>
      <w:pPr>
        <w:ind w:left="259" w:hanging="173"/>
      </w:pPr>
      <w:r>
        <w:rPr>
          <w:b/>
        </w:rPr>
        <w:t xml:space="preserve">• </w:t>
      </w:r>
      <w:r>
        <w:t>Document upload</w:t>
      </w:r>
    </w:p>
    <w:p>
      <w:pPr>
        <w:ind w:left="259" w:hanging="173"/>
      </w:pPr>
      <w:r>
        <w:rPr>
          <w:b/>
        </w:rPr>
        <w:t xml:space="preserve">• </w:t>
      </w:r>
      <w:r>
        <w:t>Consent and submission</w:t>
      </w:r>
    </w:p>
    <w:p>
      <w:pPr>
        <w:pStyle w:val="SubsectionPB"/>
      </w:pPr>
      <w:r>
        <w:t>CDMO onboarding fields</w:t>
      </w:r>
    </w:p>
    <w:p>
      <w:pPr>
        <w:ind w:left="259" w:hanging="173"/>
      </w:pPr>
      <w:r>
        <w:rPr>
          <w:b/>
        </w:rPr>
        <w:t xml:space="preserve">• </w:t>
      </w:r>
      <w:r>
        <w:t>Organisation and facility details</w:t>
      </w:r>
    </w:p>
    <w:p>
      <w:pPr>
        <w:ind w:left="259" w:hanging="173"/>
      </w:pPr>
      <w:r>
        <w:rPr>
          <w:b/>
        </w:rPr>
        <w:t xml:space="preserve">• </w:t>
      </w:r>
      <w:r>
        <w:t>Modality capabilities</w:t>
      </w:r>
    </w:p>
    <w:p>
      <w:pPr>
        <w:ind w:left="259" w:hanging="173"/>
      </w:pPr>
      <w:r>
        <w:rPr>
          <w:b/>
        </w:rPr>
        <w:t xml:space="preserve">• </w:t>
      </w:r>
      <w:r>
        <w:t>Manufacturing platforms and service types</w:t>
      </w:r>
    </w:p>
    <w:p>
      <w:pPr>
        <w:ind w:left="259" w:hanging="173"/>
      </w:pPr>
      <w:r>
        <w:rPr>
          <w:b/>
        </w:rPr>
        <w:t xml:space="preserve">• </w:t>
      </w:r>
      <w:r>
        <w:t>Regulatory status and certificates</w:t>
      </w:r>
    </w:p>
    <w:p>
      <w:pPr>
        <w:ind w:left="259" w:hanging="173"/>
      </w:pPr>
      <w:r>
        <w:rPr>
          <w:b/>
        </w:rPr>
        <w:t xml:space="preserve">• </w:t>
      </w:r>
      <w:r>
        <w:t>Capacity and availability updates</w:t>
      </w:r>
    </w:p>
    <w:p>
      <w:pPr>
        <w:ind w:left="259" w:hanging="173"/>
      </w:pPr>
      <w:r>
        <w:rPr>
          <w:b/>
        </w:rPr>
        <w:t xml:space="preserve">• </w:t>
      </w:r>
      <w:r>
        <w:t>Commercial profile</w:t>
      </w:r>
    </w:p>
    <w:p>
      <w:pPr>
        <w:ind w:left="259" w:hanging="173"/>
      </w:pPr>
      <w:r>
        <w:rPr>
          <w:b/>
        </w:rPr>
        <w:t xml:space="preserve">• </w:t>
      </w:r>
      <w:r>
        <w:t>Document upload</w:t>
      </w:r>
    </w:p>
    <w:p>
      <w:pPr>
        <w:ind w:left="259" w:hanging="173"/>
      </w:pPr>
      <w:r>
        <w:rPr>
          <w:b/>
        </w:rPr>
        <w:t xml:space="preserve">• </w:t>
      </w:r>
      <w:r>
        <w:t>Consent and submission</w:t>
      </w:r>
    </w:p>
    <w:p>
      <w:pPr>
        <w:pStyle w:val="SubsectionPB"/>
      </w:pPr>
      <w:r>
        <w:t>CRO onboarding fields</w:t>
      </w:r>
    </w:p>
    <w:p>
      <w:pPr>
        <w:ind w:left="259" w:hanging="173"/>
      </w:pPr>
      <w:r>
        <w:rPr>
          <w:b/>
        </w:rPr>
        <w:t xml:space="preserve">• </w:t>
      </w:r>
      <w:r>
        <w:t>Organisation and contact details</w:t>
      </w:r>
    </w:p>
    <w:p>
      <w:pPr>
        <w:ind w:left="259" w:hanging="173"/>
      </w:pPr>
      <w:r>
        <w:rPr>
          <w:b/>
        </w:rPr>
        <w:t xml:space="preserve">• </w:t>
      </w:r>
      <w:r>
        <w:t>Service pillar selection (Target ID through Phase III)</w:t>
      </w:r>
    </w:p>
    <w:p>
      <w:pPr>
        <w:ind w:left="259" w:hanging="173"/>
      </w:pPr>
      <w:r>
        <w:rPr>
          <w:b/>
        </w:rPr>
        <w:t xml:space="preserve">• </w:t>
      </w:r>
      <w:r>
        <w:t>Therapeutic area support</w:t>
      </w:r>
    </w:p>
    <w:p>
      <w:pPr>
        <w:ind w:left="259" w:hanging="173"/>
      </w:pPr>
      <w:r>
        <w:rPr>
          <w:b/>
        </w:rPr>
        <w:t xml:space="preserve">• </w:t>
      </w:r>
      <w:r>
        <w:t>Accreditations and quality standards</w:t>
      </w:r>
    </w:p>
    <w:p>
      <w:pPr>
        <w:ind w:left="259" w:hanging="173"/>
      </w:pPr>
      <w:r>
        <w:rPr>
          <w:b/>
        </w:rPr>
        <w:t xml:space="preserve">• </w:t>
      </w:r>
      <w:r>
        <w:t>Capacity and availability</w:t>
      </w:r>
    </w:p>
    <w:p>
      <w:pPr>
        <w:ind w:left="259" w:hanging="173"/>
      </w:pPr>
      <w:r>
        <w:rPr>
          <w:b/>
        </w:rPr>
        <w:t xml:space="preserve">• </w:t>
      </w:r>
      <w:r>
        <w:t>Commercial / engagement model</w:t>
      </w:r>
    </w:p>
    <w:p>
      <w:pPr>
        <w:ind w:left="259" w:hanging="173"/>
      </w:pPr>
      <w:r>
        <w:rPr>
          <w:b/>
        </w:rPr>
        <w:t xml:space="preserve">• </w:t>
      </w:r>
      <w:r>
        <w:t>Document upload</w:t>
      </w:r>
    </w:p>
    <w:p>
      <w:pPr>
        <w:ind w:left="259" w:hanging="173"/>
      </w:pPr>
      <w:r>
        <w:rPr>
          <w:b/>
        </w:rPr>
        <w:t xml:space="preserve">• </w:t>
      </w:r>
      <w:r>
        <w:t>Consent and submission</w:t>
      </w:r>
    </w:p>
    <w:p>
      <w:pPr>
        <w:pStyle w:val="SectionPB"/>
      </w:pPr>
      <w:r>
        <w:t>8. Core User Journeys</w:t>
      </w:r>
    </w:p>
    <w:p>
      <w:pPr>
        <w:pStyle w:val="SubsectionPB"/>
      </w:pPr>
      <w:r>
        <w:t>Journey A — Public discovery to role entry</w:t>
      </w:r>
    </w:p>
    <w:p>
      <w:pPr>
        <w:ind w:left="173" w:hanging="173"/>
      </w:pPr>
      <w:r>
        <w:rPr>
          <w:b/>
        </w:rPr>
        <w:t xml:space="preserve">1. </w:t>
      </w:r>
      <w:r>
        <w:t>User lands on public site</w:t>
      </w:r>
    </w:p>
    <w:p>
      <w:pPr>
        <w:ind w:left="173" w:hanging="173"/>
      </w:pPr>
      <w:r>
        <w:rPr>
          <w:b/>
        </w:rPr>
        <w:t xml:space="preserve">2. </w:t>
      </w:r>
      <w:r>
        <w:t>User understands PharmaBridge model and role-specific value</w:t>
      </w:r>
    </w:p>
    <w:p>
      <w:pPr>
        <w:ind w:left="173" w:hanging="173"/>
      </w:pPr>
      <w:r>
        <w:rPr>
          <w:b/>
        </w:rPr>
        <w:t xml:space="preserve">3. </w:t>
      </w:r>
      <w:r>
        <w:t>User clicks Get Started or Book Demo</w:t>
      </w:r>
    </w:p>
    <w:p>
      <w:pPr>
        <w:ind w:left="173" w:hanging="173"/>
      </w:pPr>
      <w:r>
        <w:rPr>
          <w:b/>
        </w:rPr>
        <w:t xml:space="preserve">4. </w:t>
      </w:r>
      <w:r>
        <w:t>User selects Sponsor, CDMO, or CRO path</w:t>
      </w:r>
    </w:p>
    <w:p>
      <w:pPr>
        <w:ind w:left="173" w:hanging="173"/>
      </w:pPr>
      <w:r>
        <w:rPr>
          <w:b/>
        </w:rPr>
        <w:t xml:space="preserve">5. </w:t>
      </w:r>
      <w:r>
        <w:t>User begins onboarding</w:t>
      </w:r>
    </w:p>
    <w:p>
      <w:pPr>
        <w:pStyle w:val="SubsectionPB"/>
      </w:pPr>
      <w:r>
        <w:t>Journey B — Sponsor onboarding to matched shortlist</w:t>
      </w:r>
    </w:p>
    <w:p>
      <w:pPr>
        <w:ind w:left="173" w:hanging="173"/>
      </w:pPr>
      <w:r>
        <w:rPr>
          <w:b/>
        </w:rPr>
        <w:t xml:space="preserve">1. </w:t>
      </w:r>
      <w:r>
        <w:t>Sponsor completes onboarding wizard</w:t>
      </w:r>
    </w:p>
    <w:p>
      <w:pPr>
        <w:ind w:left="173" w:hanging="173"/>
      </w:pPr>
      <w:r>
        <w:rPr>
          <w:b/>
        </w:rPr>
        <w:t xml:space="preserve">2. </w:t>
      </w:r>
      <w:r>
        <w:t>System shows pending / review state</w:t>
      </w:r>
    </w:p>
    <w:p>
      <w:pPr>
        <w:ind w:left="173" w:hanging="173"/>
      </w:pPr>
      <w:r>
        <w:rPr>
          <w:b/>
        </w:rPr>
        <w:t xml:space="preserve">3. </w:t>
      </w:r>
      <w:r>
        <w:t>Sponsor reaches dashboard</w:t>
      </w:r>
    </w:p>
    <w:p>
      <w:pPr>
        <w:ind w:left="173" w:hanging="173"/>
      </w:pPr>
      <w:r>
        <w:rPr>
          <w:b/>
        </w:rPr>
        <w:t xml:space="preserve">4. </w:t>
      </w:r>
      <w:r>
        <w:t>Sponsor creates or views active programme</w:t>
      </w:r>
    </w:p>
    <w:p>
      <w:pPr>
        <w:ind w:left="173" w:hanging="173"/>
      </w:pPr>
      <w:r>
        <w:rPr>
          <w:b/>
        </w:rPr>
        <w:t xml:space="preserve">5. </w:t>
      </w:r>
      <w:r>
        <w:t>System returns matched CDMOs/CROs with rationale and score signals</w:t>
      </w:r>
    </w:p>
    <w:p>
      <w:pPr>
        <w:pStyle w:val="SubsectionPB"/>
      </w:pPr>
      <w:r>
        <w:t>Journey C — Sponsor search, compare, and shortlist</w:t>
      </w:r>
    </w:p>
    <w:p>
      <w:pPr>
        <w:ind w:left="173" w:hanging="173"/>
      </w:pPr>
      <w:r>
        <w:rPr>
          <w:b/>
        </w:rPr>
        <w:t xml:space="preserve">1. </w:t>
      </w:r>
      <w:r>
        <w:t>Sponsor opens Search &amp; Match</w:t>
      </w:r>
    </w:p>
    <w:p>
      <w:pPr>
        <w:ind w:left="173" w:hanging="173"/>
      </w:pPr>
      <w:r>
        <w:rPr>
          <w:b/>
        </w:rPr>
        <w:t xml:space="preserve">2. </w:t>
      </w:r>
      <w:r>
        <w:t>Applies modality, geography, capacity, score, and risk filters</w:t>
      </w:r>
    </w:p>
    <w:p>
      <w:pPr>
        <w:ind w:left="173" w:hanging="173"/>
      </w:pPr>
      <w:r>
        <w:rPr>
          <w:b/>
        </w:rPr>
        <w:t xml:space="preserve">3. </w:t>
      </w:r>
      <w:r>
        <w:t>Opens vendor profile</w:t>
      </w:r>
    </w:p>
    <w:p>
      <w:pPr>
        <w:ind w:left="173" w:hanging="173"/>
      </w:pPr>
      <w:r>
        <w:rPr>
          <w:b/>
        </w:rPr>
        <w:t xml:space="preserve">4. </w:t>
      </w:r>
      <w:r>
        <w:t>Compares selected vendors side by side</w:t>
      </w:r>
    </w:p>
    <w:p>
      <w:pPr>
        <w:ind w:left="173" w:hanging="173"/>
      </w:pPr>
      <w:r>
        <w:rPr>
          <w:b/>
        </w:rPr>
        <w:t xml:space="preserve">5. </w:t>
      </w:r>
      <w:r>
        <w:t>Saves shortlist or sends to RFP builder</w:t>
      </w:r>
    </w:p>
    <w:p>
      <w:pPr>
        <w:pStyle w:val="SubsectionPB"/>
      </w:pPr>
      <w:r>
        <w:t>Journey D — RFP creation to vendor award</w:t>
      </w:r>
    </w:p>
    <w:p>
      <w:pPr>
        <w:ind w:left="173" w:hanging="173"/>
      </w:pPr>
      <w:r>
        <w:rPr>
          <w:b/>
        </w:rPr>
        <w:t xml:space="preserve">1. </w:t>
      </w:r>
      <w:r>
        <w:t>Sponsor starts new RFP</w:t>
      </w:r>
    </w:p>
    <w:p>
      <w:pPr>
        <w:ind w:left="173" w:hanging="173"/>
      </w:pPr>
      <w:r>
        <w:rPr>
          <w:b/>
        </w:rPr>
        <w:t xml:space="preserve">2. </w:t>
      </w:r>
      <w:r>
        <w:t>Adds project context, requirements, documents, and vendor recipients</w:t>
      </w:r>
    </w:p>
    <w:p>
      <w:pPr>
        <w:ind w:left="173" w:hanging="173"/>
      </w:pPr>
      <w:r>
        <w:rPr>
          <w:b/>
        </w:rPr>
        <w:t xml:space="preserve">3. </w:t>
      </w:r>
      <w:r>
        <w:t>RFP is distributed under NDA framework</w:t>
      </w:r>
    </w:p>
    <w:p>
      <w:pPr>
        <w:ind w:left="173" w:hanging="173"/>
      </w:pPr>
      <w:r>
        <w:rPr>
          <w:b/>
        </w:rPr>
        <w:t xml:space="preserve">4. </w:t>
      </w:r>
      <w:r>
        <w:t>Vendors submit proposals</w:t>
      </w:r>
    </w:p>
    <w:p>
      <w:pPr>
        <w:ind w:left="173" w:hanging="173"/>
      </w:pPr>
      <w:r>
        <w:rPr>
          <w:b/>
        </w:rPr>
        <w:t xml:space="preserve">5. </w:t>
      </w:r>
      <w:r>
        <w:t>Sponsor compares, scores, asks follow-up questions, and awards selected vendor(s)</w:t>
      </w:r>
    </w:p>
    <w:p>
      <w:pPr>
        <w:pStyle w:val="SubsectionPB"/>
      </w:pPr>
      <w:r>
        <w:t>Journey E — Post-award project management</w:t>
      </w:r>
    </w:p>
    <w:p>
      <w:pPr>
        <w:ind w:left="173" w:hanging="173"/>
      </w:pPr>
      <w:r>
        <w:rPr>
          <w:b/>
        </w:rPr>
        <w:t xml:space="preserve">1. </w:t>
      </w:r>
      <w:r>
        <w:t>Project workspace is created</w:t>
      </w:r>
    </w:p>
    <w:p>
      <w:pPr>
        <w:ind w:left="173" w:hanging="173"/>
      </w:pPr>
      <w:r>
        <w:rPr>
          <w:b/>
        </w:rPr>
        <w:t xml:space="preserve">2. </w:t>
      </w:r>
      <w:r>
        <w:t>Milestones are tracked with dates, owners, and evidence</w:t>
      </w:r>
    </w:p>
    <w:p>
      <w:pPr>
        <w:ind w:left="173" w:hanging="173"/>
      </w:pPr>
      <w:r>
        <w:rPr>
          <w:b/>
        </w:rPr>
        <w:t xml:space="preserve">3. </w:t>
      </w:r>
      <w:r>
        <w:t>Documents, issues, and change requests are managed in one workspace</w:t>
      </w:r>
    </w:p>
    <w:p>
      <w:pPr>
        <w:ind w:left="173" w:hanging="173"/>
      </w:pPr>
      <w:r>
        <w:rPr>
          <w:b/>
        </w:rPr>
        <w:t xml:space="preserve">4. </w:t>
      </w:r>
      <w:r>
        <w:t>Milestone is approved or disputed</w:t>
      </w:r>
    </w:p>
    <w:p>
      <w:pPr>
        <w:ind w:left="173" w:hanging="173"/>
      </w:pPr>
      <w:r>
        <w:rPr>
          <w:b/>
        </w:rPr>
        <w:t xml:space="preserve">5. </w:t>
      </w:r>
      <w:r>
        <w:t>Escrow/payment status is updated</w:t>
      </w:r>
    </w:p>
    <w:p>
      <w:pPr>
        <w:pStyle w:val="SubsectionPB"/>
      </w:pPr>
      <w:r>
        <w:t>Journey F — Vendor-side self service</w:t>
      </w:r>
    </w:p>
    <w:p>
      <w:pPr>
        <w:ind w:left="173" w:hanging="173"/>
      </w:pPr>
      <w:r>
        <w:rPr>
          <w:b/>
        </w:rPr>
        <w:t xml:space="preserve">1. </w:t>
      </w:r>
      <w:r>
        <w:t>CDMO/CRO logs in</w:t>
      </w:r>
    </w:p>
    <w:p>
      <w:pPr>
        <w:ind w:left="173" w:hanging="173"/>
      </w:pPr>
      <w:r>
        <w:rPr>
          <w:b/>
        </w:rPr>
        <w:t xml:space="preserve">2. </w:t>
      </w:r>
      <w:r>
        <w:t>Reviews dashboard, profile completeness, capacity, and inbound RFPs</w:t>
      </w:r>
    </w:p>
    <w:p>
      <w:pPr>
        <w:ind w:left="173" w:hanging="173"/>
      </w:pPr>
      <w:r>
        <w:rPr>
          <w:b/>
        </w:rPr>
        <w:t xml:space="preserve">3. </w:t>
      </w:r>
      <w:r>
        <w:t>Updates profile or capacity</w:t>
      </w:r>
    </w:p>
    <w:p>
      <w:pPr>
        <w:ind w:left="173" w:hanging="173"/>
      </w:pPr>
      <w:r>
        <w:rPr>
          <w:b/>
        </w:rPr>
        <w:t xml:space="preserve">4. </w:t>
      </w:r>
      <w:r>
        <w:t>Builds proposal response</w:t>
      </w:r>
    </w:p>
    <w:p>
      <w:pPr>
        <w:ind w:left="173" w:hanging="173"/>
      </w:pPr>
      <w:r>
        <w:rPr>
          <w:b/>
        </w:rPr>
        <w:t xml:space="preserve">5. </w:t>
      </w:r>
      <w:r>
        <w:t>Views active projects and operational alerts</w:t>
      </w:r>
    </w:p>
    <w:p>
      <w:pPr>
        <w:pStyle w:val="SubsectionPB"/>
      </w:pPr>
      <w:r>
        <w:t>Journey G — Internal operations</w:t>
      </w:r>
    </w:p>
    <w:p>
      <w:pPr>
        <w:ind w:left="173" w:hanging="173"/>
      </w:pPr>
      <w:r>
        <w:rPr>
          <w:b/>
        </w:rPr>
        <w:t xml:space="preserve">1. </w:t>
      </w:r>
      <w:r>
        <w:t>Admin sees review queues and operational KPIs</w:t>
      </w:r>
    </w:p>
    <w:p>
      <w:pPr>
        <w:ind w:left="173" w:hanging="173"/>
      </w:pPr>
      <w:r>
        <w:rPr>
          <w:b/>
        </w:rPr>
        <w:t xml:space="preserve">2. </w:t>
      </w:r>
      <w:r>
        <w:t>Opens KYB or certificate review</w:t>
      </w:r>
    </w:p>
    <w:p>
      <w:pPr>
        <w:ind w:left="173" w:hanging="173"/>
      </w:pPr>
      <w:r>
        <w:rPr>
          <w:b/>
        </w:rPr>
        <w:t xml:space="preserve">3. </w:t>
      </w:r>
      <w:r>
        <w:t>Approves, rejects, or flags an entity</w:t>
      </w:r>
    </w:p>
    <w:p>
      <w:pPr>
        <w:ind w:left="173" w:hanging="173"/>
      </w:pPr>
      <w:r>
        <w:rPr>
          <w:b/>
        </w:rPr>
        <w:t xml:space="preserve">4. </w:t>
      </w:r>
      <w:r>
        <w:t>Monitors disputes and fraud/compliance signals</w:t>
      </w:r>
    </w:p>
    <w:p>
      <w:pPr>
        <w:ind w:left="173" w:hanging="173"/>
      </w:pPr>
      <w:r>
        <w:rPr>
          <w:b/>
        </w:rPr>
        <w:t xml:space="preserve">5. </w:t>
      </w:r>
      <w:r>
        <w:t>Reviews intelligence alerts and quality checks outputs</w:t>
      </w:r>
    </w:p>
    <w:p>
      <w:pPr>
        <w:pStyle w:val="SectionPB"/>
      </w:pPr>
      <w:r>
        <w:t>9. Sponsor Application — Required Pages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3168"/>
            <w:vAlign w:val="center"/>
            <w:tcMar>
              <w:top w:w="80" w:type="dxa"/>
              <w:start w:w="100" w:type="dxa"/>
              <w:bottom w:w="80" w:type="dxa"/>
              <w:end w:w="100" w:type="dxa"/>
            </w:tcMar>
            <w:shd w:fill="0B7070"/>
          </w:tcPr>
          <w:p>
            <w:pPr>
              <w:pStyle w:val="TableText"/>
              <w:spacing w:after="0"/>
            </w:pPr>
            <w:r>
              <w:rPr>
                <w:b/>
                <w:color w:val="FFFFFF"/>
              </w:rPr>
              <w:t>Sponsor page</w:t>
            </w:r>
          </w:p>
        </w:tc>
        <w:tc>
          <w:tcPr>
            <w:tcW w:type="dxa" w:w="8352"/>
            <w:vAlign w:val="center"/>
            <w:tcMar>
              <w:top w:w="80" w:type="dxa"/>
              <w:start w:w="100" w:type="dxa"/>
              <w:bottom w:w="80" w:type="dxa"/>
              <w:end w:w="100" w:type="dxa"/>
            </w:tcMar>
            <w:shd w:fill="0B7070"/>
          </w:tcPr>
          <w:p>
            <w:pPr>
              <w:pStyle w:val="TableText"/>
              <w:spacing w:after="0"/>
            </w:pPr>
            <w:r>
              <w:rPr>
                <w:b/>
                <w:color w:val="FFFFFF"/>
              </w:rPr>
              <w:t>Primary content / function</w:t>
            </w:r>
          </w:p>
        </w:tc>
      </w:tr>
      <w:tr>
        <w:trPr>
          <w:trHeight w:hRule="atLeast"/>
        </w:trPr>
        <w:tc>
          <w:tcPr>
            <w:tcW w:type="dxa" w:w="3168"/>
            <w:vAlign w:val="center"/>
            <w:tcMar>
              <w:top w:w="80" w:type="dxa"/>
              <w:start w:w="100" w:type="dxa"/>
              <w:bottom w:w="80" w:type="dxa"/>
              <w:end w:w="100" w:type="dxa"/>
            </w:tcMar>
          </w:tcPr>
          <w:p>
            <w:pPr>
              <w:pStyle w:val="TableText"/>
              <w:spacing w:after="0"/>
            </w:pPr>
            <w:r>
              <w:t>Dashboard</w:t>
            </w:r>
          </w:p>
        </w:tc>
        <w:tc>
          <w:tcPr>
            <w:tcW w:type="dxa" w:w="8352"/>
            <w:vAlign w:val="center"/>
            <w:tcMar>
              <w:top w:w="80" w:type="dxa"/>
              <w:start w:w="100" w:type="dxa"/>
              <w:bottom w:w="80" w:type="dxa"/>
              <w:end w:w="100" w:type="dxa"/>
            </w:tcMar>
          </w:tcPr>
          <w:p>
            <w:pPr>
              <w:pStyle w:val="TableText"/>
              <w:spacing w:after="0"/>
            </w:pPr>
            <w:r>
              <w:t>Hero KPIs, active programmes, new matches, RFP status, critical alerts, quick actions</w:t>
            </w:r>
          </w:p>
        </w:tc>
      </w:tr>
      <w:tr>
        <w:trPr>
          <w:trHeight w:hRule="atLeast"/>
        </w:trPr>
        <w:tc>
          <w:tcPr>
            <w:tcW w:type="dxa" w:w="3168"/>
            <w:vAlign w:val="center"/>
            <w:tcMar>
              <w:top w:w="80" w:type="dxa"/>
              <w:start w:w="100" w:type="dxa"/>
              <w:bottom w:w="80" w:type="dxa"/>
              <w:end w:w="100" w:type="dxa"/>
            </w:tcMar>
            <w:shd w:fill="F7FAFC"/>
          </w:tcPr>
          <w:p>
            <w:pPr>
              <w:pStyle w:val="TableText"/>
              <w:spacing w:after="0"/>
            </w:pPr>
            <w:r>
              <w:t>Programmes list</w:t>
            </w:r>
          </w:p>
        </w:tc>
        <w:tc>
          <w:tcPr>
            <w:tcW w:type="dxa" w:w="8352"/>
            <w:vAlign w:val="center"/>
            <w:tcMar>
              <w:top w:w="80" w:type="dxa"/>
              <w:start w:w="100" w:type="dxa"/>
              <w:bottom w:w="80" w:type="dxa"/>
              <w:end w:w="100" w:type="dxa"/>
            </w:tcMar>
            <w:shd w:fill="F7FAFC"/>
          </w:tcPr>
          <w:p>
            <w:pPr>
              <w:pStyle w:val="TableText"/>
              <w:spacing w:after="0"/>
            </w:pPr>
            <w:r>
              <w:t>All sponsor programmes with phase, modality, status, and linked vendors</w:t>
            </w:r>
          </w:p>
        </w:tc>
      </w:tr>
      <w:tr>
        <w:trPr>
          <w:trHeight w:hRule="atLeast"/>
        </w:trPr>
        <w:tc>
          <w:tcPr>
            <w:tcW w:type="dxa" w:w="3168"/>
            <w:vAlign w:val="center"/>
            <w:tcMar>
              <w:top w:w="80" w:type="dxa"/>
              <w:start w:w="100" w:type="dxa"/>
              <w:bottom w:w="80" w:type="dxa"/>
              <w:end w:w="100" w:type="dxa"/>
            </w:tcMar>
          </w:tcPr>
          <w:p>
            <w:pPr>
              <w:pStyle w:val="TableText"/>
              <w:spacing w:after="0"/>
            </w:pPr>
            <w:r>
              <w:t>Programme detail</w:t>
            </w:r>
          </w:p>
        </w:tc>
        <w:tc>
          <w:tcPr>
            <w:tcW w:type="dxa" w:w="8352"/>
            <w:vAlign w:val="center"/>
            <w:tcMar>
              <w:top w:w="80" w:type="dxa"/>
              <w:start w:w="100" w:type="dxa"/>
              <w:bottom w:w="80" w:type="dxa"/>
              <w:end w:w="100" w:type="dxa"/>
            </w:tcMar>
          </w:tcPr>
          <w:p>
            <w:pPr>
              <w:pStyle w:val="TableText"/>
              <w:spacing w:after="0"/>
            </w:pPr>
            <w:r>
              <w:t>Programme overview, requirements summary, linked RFPs, intelligence, saved shortlist</w:t>
            </w:r>
          </w:p>
        </w:tc>
      </w:tr>
      <w:tr>
        <w:trPr>
          <w:trHeight w:hRule="atLeast"/>
        </w:trPr>
        <w:tc>
          <w:tcPr>
            <w:tcW w:type="dxa" w:w="3168"/>
            <w:vAlign w:val="center"/>
            <w:tcMar>
              <w:top w:w="80" w:type="dxa"/>
              <w:start w:w="100" w:type="dxa"/>
              <w:bottom w:w="80" w:type="dxa"/>
              <w:end w:w="100" w:type="dxa"/>
            </w:tcMar>
            <w:shd w:fill="F7FAFC"/>
          </w:tcPr>
          <w:p>
            <w:pPr>
              <w:pStyle w:val="TableText"/>
              <w:spacing w:after="0"/>
            </w:pPr>
            <w:r>
              <w:t>Search &amp; Match results</w:t>
            </w:r>
          </w:p>
        </w:tc>
        <w:tc>
          <w:tcPr>
            <w:tcW w:type="dxa" w:w="8352"/>
            <w:vAlign w:val="center"/>
            <w:tcMar>
              <w:top w:w="80" w:type="dxa"/>
              <w:start w:w="100" w:type="dxa"/>
              <w:bottom w:w="80" w:type="dxa"/>
              <w:end w:w="100" w:type="dxa"/>
            </w:tcMar>
            <w:shd w:fill="F7FAFC"/>
          </w:tcPr>
          <w:p>
            <w:pPr>
              <w:pStyle w:val="TableText"/>
              <w:spacing w:after="0"/>
            </w:pPr>
            <w:r>
              <w:t>Card/list view with filters, score, capacity, geography, and rationale</w:t>
            </w:r>
          </w:p>
        </w:tc>
      </w:tr>
      <w:tr>
        <w:trPr>
          <w:trHeight w:hRule="atLeast"/>
        </w:trPr>
        <w:tc>
          <w:tcPr>
            <w:tcW w:type="dxa" w:w="3168"/>
            <w:vAlign w:val="center"/>
            <w:tcMar>
              <w:top w:w="80" w:type="dxa"/>
              <w:start w:w="100" w:type="dxa"/>
              <w:bottom w:w="80" w:type="dxa"/>
              <w:end w:w="100" w:type="dxa"/>
            </w:tcMar>
          </w:tcPr>
          <w:p>
            <w:pPr>
              <w:pStyle w:val="TableText"/>
              <w:spacing w:after="0"/>
            </w:pPr>
            <w:r>
              <w:t>Vendor profile</w:t>
            </w:r>
          </w:p>
        </w:tc>
        <w:tc>
          <w:tcPr>
            <w:tcW w:type="dxa" w:w="8352"/>
            <w:vAlign w:val="center"/>
            <w:tcMar>
              <w:top w:w="80" w:type="dxa"/>
              <w:start w:w="100" w:type="dxa"/>
              <w:bottom w:w="80" w:type="dxa"/>
              <w:end w:w="100" w:type="dxa"/>
            </w:tcMar>
          </w:tcPr>
          <w:p>
            <w:pPr>
              <w:pStyle w:val="TableText"/>
              <w:spacing w:after="0"/>
            </w:pPr>
            <w:r>
              <w:t>Full vendor detail, score breakdown, capability fit, risks, documents, timeline, availability</w:t>
            </w:r>
          </w:p>
        </w:tc>
      </w:tr>
      <w:tr>
        <w:trPr>
          <w:trHeight w:hRule="atLeast"/>
        </w:trPr>
        <w:tc>
          <w:tcPr>
            <w:tcW w:type="dxa" w:w="3168"/>
            <w:vAlign w:val="center"/>
            <w:tcMar>
              <w:top w:w="80" w:type="dxa"/>
              <w:start w:w="100" w:type="dxa"/>
              <w:bottom w:w="80" w:type="dxa"/>
              <w:end w:w="100" w:type="dxa"/>
            </w:tcMar>
            <w:shd w:fill="F7FAFC"/>
          </w:tcPr>
          <w:p>
            <w:pPr>
              <w:pStyle w:val="TableText"/>
              <w:spacing w:after="0"/>
            </w:pPr>
            <w:r>
              <w:t>Compare vendors</w:t>
            </w:r>
          </w:p>
        </w:tc>
        <w:tc>
          <w:tcPr>
            <w:tcW w:type="dxa" w:w="8352"/>
            <w:vAlign w:val="center"/>
            <w:tcMar>
              <w:top w:w="80" w:type="dxa"/>
              <w:start w:w="100" w:type="dxa"/>
              <w:bottom w:w="80" w:type="dxa"/>
              <w:end w:w="100" w:type="dxa"/>
            </w:tcMar>
            <w:shd w:fill="F7FAFC"/>
          </w:tcPr>
          <w:p>
            <w:pPr>
              <w:pStyle w:val="TableText"/>
              <w:spacing w:after="0"/>
            </w:pPr>
            <w:r>
              <w:t>Multi-column comparison with weighted criteria and differences highlighted</w:t>
            </w:r>
          </w:p>
        </w:tc>
      </w:tr>
      <w:tr>
        <w:trPr>
          <w:trHeight w:hRule="atLeast"/>
        </w:trPr>
        <w:tc>
          <w:tcPr>
            <w:tcW w:type="dxa" w:w="3168"/>
            <w:vAlign w:val="center"/>
            <w:tcMar>
              <w:top w:w="80" w:type="dxa"/>
              <w:start w:w="100" w:type="dxa"/>
              <w:bottom w:w="80" w:type="dxa"/>
              <w:end w:w="100" w:type="dxa"/>
            </w:tcMar>
          </w:tcPr>
          <w:p>
            <w:pPr>
              <w:pStyle w:val="TableText"/>
              <w:spacing w:after="0"/>
            </w:pPr>
            <w:r>
              <w:t>Saved shortlist</w:t>
            </w:r>
          </w:p>
        </w:tc>
        <w:tc>
          <w:tcPr>
            <w:tcW w:type="dxa" w:w="8352"/>
            <w:vAlign w:val="center"/>
            <w:tcMar>
              <w:top w:w="80" w:type="dxa"/>
              <w:start w:w="100" w:type="dxa"/>
              <w:bottom w:w="80" w:type="dxa"/>
              <w:end w:w="100" w:type="dxa"/>
            </w:tcMar>
          </w:tcPr>
          <w:p>
            <w:pPr>
              <w:pStyle w:val="TableText"/>
              <w:spacing w:after="0"/>
            </w:pPr>
            <w:r>
              <w:t>Persisted vendor groups by programme</w:t>
            </w:r>
          </w:p>
        </w:tc>
      </w:tr>
      <w:tr>
        <w:trPr>
          <w:trHeight w:hRule="atLeast"/>
        </w:trPr>
        <w:tc>
          <w:tcPr>
            <w:tcW w:type="dxa" w:w="3168"/>
            <w:vAlign w:val="center"/>
            <w:tcMar>
              <w:top w:w="80" w:type="dxa"/>
              <w:start w:w="100" w:type="dxa"/>
              <w:bottom w:w="80" w:type="dxa"/>
              <w:end w:w="100" w:type="dxa"/>
            </w:tcMar>
            <w:shd w:fill="F7FAFC"/>
          </w:tcPr>
          <w:p>
            <w:pPr>
              <w:pStyle w:val="TableText"/>
              <w:spacing w:after="0"/>
            </w:pPr>
            <w:r>
              <w:t>RFP dashboard</w:t>
            </w:r>
          </w:p>
        </w:tc>
        <w:tc>
          <w:tcPr>
            <w:tcW w:type="dxa" w:w="8352"/>
            <w:vAlign w:val="center"/>
            <w:tcMar>
              <w:top w:w="80" w:type="dxa"/>
              <w:start w:w="100" w:type="dxa"/>
              <w:bottom w:w="80" w:type="dxa"/>
              <w:end w:w="100" w:type="dxa"/>
            </w:tcMar>
            <w:shd w:fill="F7FAFC"/>
          </w:tcPr>
          <w:p>
            <w:pPr>
              <w:pStyle w:val="TableText"/>
              <w:spacing w:after="0"/>
            </w:pPr>
            <w:r>
              <w:t>All RFPs by draft / active / awaiting proposals / awarded / closed</w:t>
            </w:r>
          </w:p>
        </w:tc>
      </w:tr>
      <w:tr>
        <w:trPr>
          <w:trHeight w:hRule="atLeast"/>
        </w:trPr>
        <w:tc>
          <w:tcPr>
            <w:tcW w:type="dxa" w:w="3168"/>
            <w:vAlign w:val="center"/>
            <w:tcMar>
              <w:top w:w="80" w:type="dxa"/>
              <w:start w:w="100" w:type="dxa"/>
              <w:bottom w:w="80" w:type="dxa"/>
              <w:end w:w="100" w:type="dxa"/>
            </w:tcMar>
          </w:tcPr>
          <w:p>
            <w:pPr>
              <w:pStyle w:val="TableText"/>
              <w:spacing w:after="0"/>
            </w:pPr>
            <w:r>
              <w:t>New RFP wizard</w:t>
            </w:r>
          </w:p>
        </w:tc>
        <w:tc>
          <w:tcPr>
            <w:tcW w:type="dxa" w:w="8352"/>
            <w:vAlign w:val="center"/>
            <w:tcMar>
              <w:top w:w="80" w:type="dxa"/>
              <w:start w:w="100" w:type="dxa"/>
              <w:bottom w:w="80" w:type="dxa"/>
              <w:end w:w="100" w:type="dxa"/>
            </w:tcMar>
          </w:tcPr>
          <w:p>
            <w:pPr>
              <w:pStyle w:val="TableText"/>
              <w:spacing w:after="0"/>
            </w:pPr>
            <w:r>
              <w:t>Structured builder with stepper and document attachments</w:t>
            </w:r>
          </w:p>
        </w:tc>
      </w:tr>
      <w:tr>
        <w:trPr>
          <w:trHeight w:hRule="atLeast"/>
        </w:trPr>
        <w:tc>
          <w:tcPr>
            <w:tcW w:type="dxa" w:w="3168"/>
            <w:vAlign w:val="center"/>
            <w:tcMar>
              <w:top w:w="80" w:type="dxa"/>
              <w:start w:w="100" w:type="dxa"/>
              <w:bottom w:w="80" w:type="dxa"/>
              <w:end w:w="100" w:type="dxa"/>
            </w:tcMar>
            <w:shd w:fill="F7FAFC"/>
          </w:tcPr>
          <w:p>
            <w:pPr>
              <w:pStyle w:val="TableText"/>
              <w:spacing w:after="0"/>
            </w:pPr>
            <w:r>
              <w:t>Proposal comparison</w:t>
            </w:r>
          </w:p>
        </w:tc>
        <w:tc>
          <w:tcPr>
            <w:tcW w:type="dxa" w:w="8352"/>
            <w:vAlign w:val="center"/>
            <w:tcMar>
              <w:top w:w="80" w:type="dxa"/>
              <w:start w:w="100" w:type="dxa"/>
              <w:bottom w:w="80" w:type="dxa"/>
              <w:end w:w="100" w:type="dxa"/>
            </w:tcMar>
            <w:shd w:fill="F7FAFC"/>
          </w:tcPr>
          <w:p>
            <w:pPr>
              <w:pStyle w:val="TableText"/>
              <w:spacing w:after="0"/>
            </w:pPr>
            <w:r>
              <w:t>Unified sponsor review table for proposals and commercial comparison</w:t>
            </w:r>
          </w:p>
        </w:tc>
      </w:tr>
      <w:tr>
        <w:trPr>
          <w:trHeight w:hRule="atLeast"/>
        </w:trPr>
        <w:tc>
          <w:tcPr>
            <w:tcW w:type="dxa" w:w="3168"/>
            <w:vAlign w:val="center"/>
            <w:tcMar>
              <w:top w:w="80" w:type="dxa"/>
              <w:start w:w="100" w:type="dxa"/>
              <w:bottom w:w="80" w:type="dxa"/>
              <w:end w:w="100" w:type="dxa"/>
            </w:tcMar>
          </w:tcPr>
          <w:p>
            <w:pPr>
              <w:pStyle w:val="TableText"/>
              <w:spacing w:after="0"/>
            </w:pPr>
            <w:r>
              <w:t>Scoring and award page</w:t>
            </w:r>
          </w:p>
        </w:tc>
        <w:tc>
          <w:tcPr>
            <w:tcW w:type="dxa" w:w="8352"/>
            <w:vAlign w:val="center"/>
            <w:tcMar>
              <w:top w:w="80" w:type="dxa"/>
              <w:start w:w="100" w:type="dxa"/>
              <w:bottom w:w="80" w:type="dxa"/>
              <w:end w:w="100" w:type="dxa"/>
            </w:tcMar>
          </w:tcPr>
          <w:p>
            <w:pPr>
              <w:pStyle w:val="TableText"/>
              <w:spacing w:after="0"/>
            </w:pPr>
            <w:r>
              <w:t>Scorecards, comments, finalist selection, award confirmation</w:t>
            </w:r>
          </w:p>
        </w:tc>
      </w:tr>
      <w:tr>
        <w:trPr>
          <w:trHeight w:hRule="atLeast"/>
        </w:trPr>
        <w:tc>
          <w:tcPr>
            <w:tcW w:type="dxa" w:w="3168"/>
            <w:vAlign w:val="center"/>
            <w:tcMar>
              <w:top w:w="80" w:type="dxa"/>
              <w:start w:w="100" w:type="dxa"/>
              <w:bottom w:w="80" w:type="dxa"/>
              <w:end w:w="100" w:type="dxa"/>
            </w:tcMar>
            <w:shd w:fill="F7FAFC"/>
          </w:tcPr>
          <w:p>
            <w:pPr>
              <w:pStyle w:val="TableText"/>
              <w:spacing w:after="0"/>
            </w:pPr>
            <w:r>
              <w:t>Project workspace</w:t>
            </w:r>
          </w:p>
        </w:tc>
        <w:tc>
          <w:tcPr>
            <w:tcW w:type="dxa" w:w="8352"/>
            <w:vAlign w:val="center"/>
            <w:tcMar>
              <w:top w:w="80" w:type="dxa"/>
              <w:start w:w="100" w:type="dxa"/>
              <w:bottom w:w="80" w:type="dxa"/>
              <w:end w:w="100" w:type="dxa"/>
            </w:tcMar>
            <w:shd w:fill="F7FAFC"/>
          </w:tcPr>
          <w:p>
            <w:pPr>
              <w:pStyle w:val="TableText"/>
              <w:spacing w:after="0"/>
            </w:pPr>
            <w:r>
              <w:t>Operational hub for live awarded work</w:t>
            </w:r>
          </w:p>
        </w:tc>
      </w:tr>
      <w:tr>
        <w:trPr>
          <w:trHeight w:hRule="atLeast"/>
        </w:trPr>
        <w:tc>
          <w:tcPr>
            <w:tcW w:type="dxa" w:w="3168"/>
            <w:vAlign w:val="center"/>
            <w:tcMar>
              <w:top w:w="80" w:type="dxa"/>
              <w:start w:w="100" w:type="dxa"/>
              <w:bottom w:w="80" w:type="dxa"/>
              <w:end w:w="100" w:type="dxa"/>
            </w:tcMar>
          </w:tcPr>
          <w:p>
            <w:pPr>
              <w:pStyle w:val="TableText"/>
              <w:spacing w:after="0"/>
            </w:pPr>
            <w:r>
              <w:t>Milestone detail</w:t>
            </w:r>
          </w:p>
        </w:tc>
        <w:tc>
          <w:tcPr>
            <w:tcW w:type="dxa" w:w="8352"/>
            <w:vAlign w:val="center"/>
            <w:tcMar>
              <w:top w:w="80" w:type="dxa"/>
              <w:start w:w="100" w:type="dxa"/>
              <w:bottom w:w="80" w:type="dxa"/>
              <w:end w:w="100" w:type="dxa"/>
            </w:tcMar>
          </w:tcPr>
          <w:p>
            <w:pPr>
              <w:pStyle w:val="TableText"/>
              <w:spacing w:after="0"/>
            </w:pPr>
            <w:r>
              <w:t>Evidence, deliverables, reviews, approvals, disputes</w:t>
            </w:r>
          </w:p>
        </w:tc>
      </w:tr>
      <w:tr>
        <w:trPr>
          <w:trHeight w:hRule="atLeast"/>
        </w:trPr>
        <w:tc>
          <w:tcPr>
            <w:tcW w:type="dxa" w:w="3168"/>
            <w:vAlign w:val="center"/>
            <w:tcMar>
              <w:top w:w="80" w:type="dxa"/>
              <w:start w:w="100" w:type="dxa"/>
              <w:bottom w:w="80" w:type="dxa"/>
              <w:end w:w="100" w:type="dxa"/>
            </w:tcMar>
            <w:shd w:fill="F7FAFC"/>
          </w:tcPr>
          <w:p>
            <w:pPr>
              <w:pStyle w:val="TableText"/>
              <w:spacing w:after="0"/>
            </w:pPr>
            <w:r>
              <w:t>Escrow / payments</w:t>
            </w:r>
          </w:p>
        </w:tc>
        <w:tc>
          <w:tcPr>
            <w:tcW w:type="dxa" w:w="8352"/>
            <w:vAlign w:val="center"/>
            <w:tcMar>
              <w:top w:w="80" w:type="dxa"/>
              <w:start w:w="100" w:type="dxa"/>
              <w:bottom w:w="80" w:type="dxa"/>
              <w:end w:w="100" w:type="dxa"/>
            </w:tcMar>
            <w:shd w:fill="F7FAFC"/>
          </w:tcPr>
          <w:p>
            <w:pPr>
              <w:pStyle w:val="TableText"/>
              <w:spacing w:after="0"/>
            </w:pPr>
            <w:r>
              <w:t>Funding status, payment releases, invoices, fee summary</w:t>
            </w:r>
          </w:p>
        </w:tc>
      </w:tr>
      <w:tr>
        <w:trPr>
          <w:trHeight w:hRule="atLeast"/>
        </w:trPr>
        <w:tc>
          <w:tcPr>
            <w:tcW w:type="dxa" w:w="3168"/>
            <w:vAlign w:val="center"/>
            <w:tcMar>
              <w:top w:w="80" w:type="dxa"/>
              <w:start w:w="100" w:type="dxa"/>
              <w:bottom w:w="80" w:type="dxa"/>
              <w:end w:w="100" w:type="dxa"/>
            </w:tcMar>
          </w:tcPr>
          <w:p>
            <w:pPr>
              <w:pStyle w:val="TableText"/>
              <w:spacing w:after="0"/>
            </w:pPr>
            <w:r>
              <w:t>Intelligence dashboard</w:t>
            </w:r>
          </w:p>
        </w:tc>
        <w:tc>
          <w:tcPr>
            <w:tcW w:type="dxa" w:w="8352"/>
            <w:vAlign w:val="center"/>
            <w:tcMar>
              <w:top w:w="80" w:type="dxa"/>
              <w:start w:w="100" w:type="dxa"/>
              <w:bottom w:w="80" w:type="dxa"/>
              <w:end w:w="100" w:type="dxa"/>
            </w:tcMar>
          </w:tcPr>
          <w:p>
            <w:pPr>
              <w:pStyle w:val="TableText"/>
              <w:spacing w:after="0"/>
            </w:pPr>
            <w:r>
              <w:t>Alerts, watchlists, modality insights, benchmark widgets</w:t>
            </w:r>
          </w:p>
        </w:tc>
      </w:tr>
      <w:tr>
        <w:trPr>
          <w:trHeight w:hRule="atLeast"/>
        </w:trPr>
        <w:tc>
          <w:tcPr>
            <w:tcW w:type="dxa" w:w="3168"/>
            <w:vAlign w:val="center"/>
            <w:tcMar>
              <w:top w:w="80" w:type="dxa"/>
              <w:start w:w="100" w:type="dxa"/>
              <w:bottom w:w="80" w:type="dxa"/>
              <w:end w:w="100" w:type="dxa"/>
            </w:tcMar>
            <w:shd w:fill="F7FAFC"/>
          </w:tcPr>
          <w:p>
            <w:pPr>
              <w:pStyle w:val="TableText"/>
              <w:spacing w:after="0"/>
            </w:pPr>
            <w:r>
              <w:t>Documents</w:t>
            </w:r>
          </w:p>
        </w:tc>
        <w:tc>
          <w:tcPr>
            <w:tcW w:type="dxa" w:w="8352"/>
            <w:vAlign w:val="center"/>
            <w:tcMar>
              <w:top w:w="80" w:type="dxa"/>
              <w:start w:w="100" w:type="dxa"/>
              <w:bottom w:w="80" w:type="dxa"/>
              <w:end w:w="100" w:type="dxa"/>
            </w:tcMar>
            <w:shd w:fill="F7FAFC"/>
          </w:tcPr>
          <w:p>
            <w:pPr>
              <w:pStyle w:val="TableText"/>
              <w:spacing w:after="0"/>
            </w:pPr>
            <w:r>
              <w:t>Vault view for NDAs, RFP attachments, quality docs, agreements</w:t>
            </w:r>
          </w:p>
        </w:tc>
      </w:tr>
      <w:tr>
        <w:trPr>
          <w:trHeight w:hRule="atLeast"/>
        </w:trPr>
        <w:tc>
          <w:tcPr>
            <w:tcW w:type="dxa" w:w="3168"/>
            <w:vAlign w:val="center"/>
            <w:tcMar>
              <w:top w:w="80" w:type="dxa"/>
              <w:start w:w="100" w:type="dxa"/>
              <w:bottom w:w="80" w:type="dxa"/>
              <w:end w:w="100" w:type="dxa"/>
            </w:tcMar>
          </w:tcPr>
          <w:p>
            <w:pPr>
              <w:pStyle w:val="TableText"/>
              <w:spacing w:after="0"/>
            </w:pPr>
            <w:r>
              <w:t>Settings</w:t>
            </w:r>
          </w:p>
        </w:tc>
        <w:tc>
          <w:tcPr>
            <w:tcW w:type="dxa" w:w="8352"/>
            <w:vAlign w:val="center"/>
            <w:tcMar>
              <w:top w:w="80" w:type="dxa"/>
              <w:start w:w="100" w:type="dxa"/>
              <w:bottom w:w="80" w:type="dxa"/>
              <w:end w:w="100" w:type="dxa"/>
            </w:tcMar>
          </w:tcPr>
          <w:p>
            <w:pPr>
              <w:pStyle w:val="TableText"/>
              <w:spacing w:after="0"/>
            </w:pPr>
            <w:r>
              <w:t>Org settings, users, notifications, billing, integrations placeholders</w:t>
            </w:r>
          </w:p>
        </w:tc>
      </w:tr>
    </w:tbl>
    <w:p/>
    <w:p>
      <w:pPr>
        <w:pStyle w:val="SectionPB"/>
      </w:pPr>
      <w:r>
        <w:t>10. CDMO and CRO Applications — Required Pages</w:t>
      </w:r>
    </w:p>
    <w:tbl>
      <w:tblPr>
        <w:tblStyle w:val="TableGrid"/>
        <w:tblW w:type="auto" w:w="0"/>
        <w:jc w:val="center"/>
        <w:tblLook w:firstColumn="1" w:firstRow="1" w:lastColumn="0" w:lastRow="0" w:noHBand="0" w:noVBand="1" w:val="04A0"/>
      </w:tblPr>
      <w:tblGrid>
        <w:gridCol w:w="3312"/>
        <w:gridCol w:w="3312"/>
        <w:gridCol w:w="3312"/>
      </w:tblGrid>
      <w:tr>
        <w:trPr>
          <w:trHeight w:hRule="atLeast"/>
        </w:trPr>
        <w:tc>
          <w:tcPr>
            <w:tcW w:type="dxa" w:w="1296"/>
            <w:vAlign w:val="center"/>
            <w:tcMar>
              <w:top w:w="80" w:type="dxa"/>
              <w:start w:w="100" w:type="dxa"/>
              <w:bottom w:w="80" w:type="dxa"/>
              <w:end w:w="100" w:type="dxa"/>
            </w:tcMar>
            <w:shd w:fill="0B7070"/>
          </w:tcPr>
          <w:p>
            <w:pPr>
              <w:pStyle w:val="TableText"/>
              <w:spacing w:after="0"/>
            </w:pPr>
            <w:r>
              <w:rPr>
                <w:b/>
                <w:color w:val="FFFFFF"/>
              </w:rPr>
              <w:t>Role</w:t>
            </w:r>
          </w:p>
        </w:tc>
        <w:tc>
          <w:tcPr>
            <w:tcW w:type="dxa" w:w="6192"/>
            <w:vAlign w:val="center"/>
            <w:tcMar>
              <w:top w:w="80" w:type="dxa"/>
              <w:start w:w="100" w:type="dxa"/>
              <w:bottom w:w="80" w:type="dxa"/>
              <w:end w:w="100" w:type="dxa"/>
            </w:tcMar>
            <w:shd w:fill="0B7070"/>
          </w:tcPr>
          <w:p>
            <w:pPr>
              <w:pStyle w:val="TableText"/>
              <w:spacing w:after="0"/>
            </w:pPr>
            <w:r>
              <w:rPr>
                <w:b/>
                <w:color w:val="FFFFFF"/>
              </w:rPr>
              <w:t>Pages</w:t>
            </w:r>
          </w:p>
        </w:tc>
        <w:tc>
          <w:tcPr>
            <w:tcW w:type="dxa" w:w="4032"/>
            <w:vAlign w:val="center"/>
            <w:tcMar>
              <w:top w:w="80" w:type="dxa"/>
              <w:start w:w="100" w:type="dxa"/>
              <w:bottom w:w="80" w:type="dxa"/>
              <w:end w:w="100" w:type="dxa"/>
            </w:tcMar>
            <w:shd w:fill="0B7070"/>
          </w:tcPr>
          <w:p>
            <w:pPr>
              <w:pStyle w:val="TableText"/>
              <w:spacing w:after="0"/>
            </w:pPr>
            <w:r>
              <w:rPr>
                <w:b/>
                <w:color w:val="FFFFFF"/>
              </w:rPr>
              <w:t>Notes</w:t>
            </w:r>
          </w:p>
        </w:tc>
      </w:tr>
      <w:tr>
        <w:trPr>
          <w:trHeight w:hRule="atLeast"/>
        </w:trPr>
        <w:tc>
          <w:tcPr>
            <w:tcW w:type="dxa" w:w="1296"/>
            <w:vAlign w:val="center"/>
            <w:tcMar>
              <w:top w:w="80" w:type="dxa"/>
              <w:start w:w="100" w:type="dxa"/>
              <w:bottom w:w="80" w:type="dxa"/>
              <w:end w:w="100" w:type="dxa"/>
            </w:tcMar>
          </w:tcPr>
          <w:p>
            <w:pPr>
              <w:pStyle w:val="TableText"/>
              <w:spacing w:after="0"/>
            </w:pPr>
            <w:r>
              <w:t>CDMO</w:t>
            </w:r>
          </w:p>
        </w:tc>
        <w:tc>
          <w:tcPr>
            <w:tcW w:type="dxa" w:w="6192"/>
            <w:vAlign w:val="center"/>
            <w:tcMar>
              <w:top w:w="80" w:type="dxa"/>
              <w:start w:w="100" w:type="dxa"/>
              <w:bottom w:w="80" w:type="dxa"/>
              <w:end w:w="100" w:type="dxa"/>
            </w:tcMar>
          </w:tcPr>
          <w:p>
            <w:pPr>
              <w:pStyle w:val="TableText"/>
              <w:spacing w:after="0"/>
            </w:pPr>
            <w:r>
              <w:t>Dashboard; Profile; Facilities; Capabilities; Capacity Calendar; Certificates; RFP Inbox; Proposal Builder; Active Projects; Score &amp; KPI View; Billing; Settings</w:t>
            </w:r>
          </w:p>
        </w:tc>
        <w:tc>
          <w:tcPr>
            <w:tcW w:type="dxa" w:w="4032"/>
            <w:vAlign w:val="center"/>
            <w:tcMar>
              <w:top w:w="80" w:type="dxa"/>
              <w:start w:w="100" w:type="dxa"/>
              <w:bottom w:w="80" w:type="dxa"/>
              <w:end w:w="100" w:type="dxa"/>
            </w:tcMar>
          </w:tcPr>
          <w:p>
            <w:pPr>
              <w:pStyle w:val="TableText"/>
              <w:spacing w:after="0"/>
            </w:pPr>
            <w:r>
              <w:t>Must feel operational and trustworthy. Show capacity, certifications, readiness, and inbound demand.</w:t>
            </w:r>
          </w:p>
        </w:tc>
      </w:tr>
      <w:tr>
        <w:trPr>
          <w:trHeight w:hRule="atLeast"/>
        </w:trPr>
        <w:tc>
          <w:tcPr>
            <w:tcW w:type="dxa" w:w="1296"/>
            <w:vAlign w:val="center"/>
            <w:tcMar>
              <w:top w:w="80" w:type="dxa"/>
              <w:start w:w="100" w:type="dxa"/>
              <w:bottom w:w="80" w:type="dxa"/>
              <w:end w:w="100" w:type="dxa"/>
            </w:tcMar>
            <w:shd w:fill="F7FAFC"/>
          </w:tcPr>
          <w:p>
            <w:pPr>
              <w:pStyle w:val="TableText"/>
              <w:spacing w:after="0"/>
            </w:pPr>
            <w:r>
              <w:t>CRO</w:t>
            </w:r>
          </w:p>
        </w:tc>
        <w:tc>
          <w:tcPr>
            <w:tcW w:type="dxa" w:w="6192"/>
            <w:vAlign w:val="center"/>
            <w:tcMar>
              <w:top w:w="80" w:type="dxa"/>
              <w:start w:w="100" w:type="dxa"/>
              <w:bottom w:w="80" w:type="dxa"/>
              <w:end w:w="100" w:type="dxa"/>
            </w:tcMar>
            <w:shd w:fill="F7FAFC"/>
          </w:tcPr>
          <w:p>
            <w:pPr>
              <w:pStyle w:val="TableText"/>
              <w:spacing w:after="0"/>
            </w:pPr>
            <w:r>
              <w:t>Dashboard; Profile; Service Pillars; Therapeutic Areas; Accreditations; Capacity; RFP Inbox; Proposal Builder; Active Projects; Intelligence; Settings</w:t>
            </w:r>
          </w:p>
        </w:tc>
        <w:tc>
          <w:tcPr>
            <w:tcW w:type="dxa" w:w="4032"/>
            <w:vAlign w:val="center"/>
            <w:tcMar>
              <w:top w:w="80" w:type="dxa"/>
              <w:start w:w="100" w:type="dxa"/>
              <w:bottom w:w="80" w:type="dxa"/>
              <w:end w:w="100" w:type="dxa"/>
            </w:tcMar>
            <w:shd w:fill="F7FAFC"/>
          </w:tcPr>
          <w:p>
            <w:pPr>
              <w:pStyle w:val="TableText"/>
              <w:spacing w:after="0"/>
            </w:pPr>
            <w:r>
              <w:t>Must showcase breadth across the research pipeline and make service taxonomy navigable.</w:t>
            </w:r>
          </w:p>
        </w:tc>
      </w:tr>
    </w:tbl>
    <w:p/>
    <w:p>
      <w:pPr>
        <w:pStyle w:val="SectionPB"/>
      </w:pPr>
      <w:r>
        <w:t>11. Admin / Compliance Console — Required Pages</w:t>
      </w:r>
    </w:p>
    <w:p>
      <w:pPr>
        <w:ind w:left="259" w:hanging="173"/>
      </w:pPr>
      <w:r>
        <w:rPr>
          <w:b/>
        </w:rPr>
        <w:t xml:space="preserve">• </w:t>
      </w:r>
      <w:r>
        <w:t>Ops dashboard</w:t>
      </w:r>
    </w:p>
    <w:p>
      <w:pPr>
        <w:ind w:left="259" w:hanging="173"/>
      </w:pPr>
      <w:r>
        <w:rPr>
          <w:b/>
        </w:rPr>
        <w:t xml:space="preserve">• </w:t>
      </w:r>
      <w:r>
        <w:t>KYB review queue</w:t>
      </w:r>
    </w:p>
    <w:p>
      <w:pPr>
        <w:ind w:left="259" w:hanging="173"/>
      </w:pPr>
      <w:r>
        <w:rPr>
          <w:b/>
        </w:rPr>
        <w:t xml:space="preserve">• </w:t>
      </w:r>
      <w:r>
        <w:t>Organisation detail review</w:t>
      </w:r>
    </w:p>
    <w:p>
      <w:pPr>
        <w:ind w:left="259" w:hanging="173"/>
      </w:pPr>
      <w:r>
        <w:rPr>
          <w:b/>
        </w:rPr>
        <w:t xml:space="preserve">• </w:t>
      </w:r>
      <w:r>
        <w:t>Certificate verification queue</w:t>
      </w:r>
    </w:p>
    <w:p>
      <w:pPr>
        <w:ind w:left="259" w:hanging="173"/>
      </w:pPr>
      <w:r>
        <w:rPr>
          <w:b/>
        </w:rPr>
        <w:t xml:space="preserve">• </w:t>
      </w:r>
      <w:r>
        <w:t>Audit scheduling / tracking</w:t>
      </w:r>
    </w:p>
    <w:p>
      <w:pPr>
        <w:ind w:left="259" w:hanging="173"/>
      </w:pPr>
      <w:r>
        <w:rPr>
          <w:b/>
        </w:rPr>
        <w:t xml:space="preserve">• </w:t>
      </w:r>
      <w:r>
        <w:t>Dispute dashboard</w:t>
      </w:r>
    </w:p>
    <w:p>
      <w:pPr>
        <w:ind w:left="259" w:hanging="173"/>
      </w:pPr>
      <w:r>
        <w:rPr>
          <w:b/>
        </w:rPr>
        <w:t xml:space="preserve">• </w:t>
      </w:r>
      <w:r>
        <w:t>Fraud &amp; compliance monitoring</w:t>
      </w:r>
    </w:p>
    <w:p>
      <w:pPr>
        <w:ind w:left="259" w:hanging="173"/>
      </w:pPr>
      <w:r>
        <w:rPr>
          <w:b/>
        </w:rPr>
        <w:t xml:space="preserve">• </w:t>
      </w:r>
      <w:r>
        <w:t>User and organisation administration</w:t>
      </w:r>
    </w:p>
    <w:p>
      <w:pPr>
        <w:ind w:left="259" w:hanging="173"/>
      </w:pPr>
      <w:r>
        <w:rPr>
          <w:b/>
        </w:rPr>
        <w:t xml:space="preserve">• </w:t>
      </w:r>
      <w:r>
        <w:t>Intelligence QA queue</w:t>
      </w:r>
    </w:p>
    <w:p>
      <w:pPr>
        <w:ind w:left="259" w:hanging="173"/>
      </w:pPr>
      <w:r>
        <w:rPr>
          <w:b/>
        </w:rPr>
        <w:t xml:space="preserve">• </w:t>
      </w:r>
      <w:r>
        <w:t>Score event / score maintenance log</w:t>
      </w:r>
    </w:p>
    <w:p>
      <w:pPr>
        <w:ind w:left="259" w:hanging="173"/>
      </w:pPr>
      <w:r>
        <w:rPr>
          <w:b/>
        </w:rPr>
        <w:t xml:space="preserve">• </w:t>
      </w:r>
      <w:r>
        <w:t>Operational reporting</w:t>
      </w:r>
    </w:p>
    <w:p>
      <w:pPr/>
      <w:r>
        <w:t>For prototype purposes, internal roles can share one console with modular sections. The UI should still imply specialist workflows such as KYB Analyst, Certificate Verifier, Audit Coordinator, Account Manager, Dispute Arbiter, Intelligence Analyst, and Fraud &amp; Compliance reviewer.</w:t>
      </w:r>
    </w:p>
    <w:p>
      <w:pPr>
        <w:pStyle w:val="SectionPB"/>
      </w:pPr>
      <w:r>
        <w:t>12. Screen Inventory Summary</w:t>
      </w:r>
    </w:p>
    <w:tbl>
      <w:tblPr>
        <w:tblStyle w:val="TableGrid"/>
        <w:tblW w:type="auto" w:w="0"/>
        <w:jc w:val="center"/>
        <w:tblLook w:firstColumn="1" w:firstRow="1" w:lastColumn="0" w:lastRow="0" w:noHBand="0" w:noVBand="1" w:val="04A0"/>
      </w:tblPr>
      <w:tblGrid>
        <w:gridCol w:w="3312"/>
        <w:gridCol w:w="3312"/>
        <w:gridCol w:w="3312"/>
      </w:tblGrid>
      <w:tr>
        <w:trPr>
          <w:trHeight w:hRule="atLeast"/>
        </w:trPr>
        <w:tc>
          <w:tcPr>
            <w:tcW w:type="dxa" w:w="3600"/>
            <w:vAlign w:val="center"/>
            <w:tcMar>
              <w:top w:w="80" w:type="dxa"/>
              <w:start w:w="100" w:type="dxa"/>
              <w:bottom w:w="80" w:type="dxa"/>
              <w:end w:w="100" w:type="dxa"/>
            </w:tcMar>
            <w:shd w:fill="0B7070"/>
          </w:tcPr>
          <w:p>
            <w:pPr>
              <w:pStyle w:val="TableText"/>
              <w:spacing w:after="0"/>
            </w:pPr>
            <w:r>
              <w:rPr>
                <w:b/>
                <w:color w:val="FFFFFF"/>
              </w:rPr>
              <w:t>Area</w:t>
            </w:r>
          </w:p>
        </w:tc>
        <w:tc>
          <w:tcPr>
            <w:tcW w:type="dxa" w:w="2880"/>
            <w:vAlign w:val="center"/>
            <w:tcMar>
              <w:top w:w="80" w:type="dxa"/>
              <w:start w:w="100" w:type="dxa"/>
              <w:bottom w:w="80" w:type="dxa"/>
              <w:end w:w="100" w:type="dxa"/>
            </w:tcMar>
            <w:shd w:fill="0B7070"/>
          </w:tcPr>
          <w:p>
            <w:pPr>
              <w:pStyle w:val="TableText"/>
              <w:spacing w:after="0"/>
            </w:pPr>
            <w:r>
              <w:rPr>
                <w:b/>
                <w:color w:val="FFFFFF"/>
              </w:rPr>
              <w:t>Approximate screen count</w:t>
            </w:r>
          </w:p>
        </w:tc>
        <w:tc>
          <w:tcPr>
            <w:tcW w:type="dxa" w:w="2880"/>
            <w:vAlign w:val="center"/>
            <w:tcMar>
              <w:top w:w="80" w:type="dxa"/>
              <w:start w:w="100" w:type="dxa"/>
              <w:bottom w:w="80" w:type="dxa"/>
              <w:end w:w="100" w:type="dxa"/>
            </w:tcMar>
            <w:shd w:fill="0B7070"/>
          </w:tcPr>
          <w:p>
            <w:pPr>
              <w:pStyle w:val="TableText"/>
              <w:spacing w:after="0"/>
            </w:pPr>
            <w:r>
              <w:rPr>
                <w:b/>
                <w:color w:val="FFFFFF"/>
              </w:rPr>
              <w:t>Priority</w:t>
            </w:r>
          </w:p>
        </w:tc>
      </w:tr>
      <w:tr>
        <w:trPr>
          <w:trHeight w:hRule="atLeast"/>
        </w:trPr>
        <w:tc>
          <w:tcPr>
            <w:tcW w:type="dxa" w:w="3600"/>
            <w:vAlign w:val="center"/>
            <w:tcMar>
              <w:top w:w="80" w:type="dxa"/>
              <w:start w:w="100" w:type="dxa"/>
              <w:bottom w:w="80" w:type="dxa"/>
              <w:end w:w="100" w:type="dxa"/>
            </w:tcMar>
          </w:tcPr>
          <w:p>
            <w:pPr>
              <w:pStyle w:val="TableText"/>
              <w:spacing w:after="0"/>
            </w:pPr>
            <w:r>
              <w:t>Public website</w:t>
            </w:r>
          </w:p>
        </w:tc>
        <w:tc>
          <w:tcPr>
            <w:tcW w:type="dxa" w:w="2880"/>
            <w:vAlign w:val="center"/>
            <w:tcMar>
              <w:top w:w="80" w:type="dxa"/>
              <w:start w:w="100" w:type="dxa"/>
              <w:bottom w:w="80" w:type="dxa"/>
              <w:end w:w="100" w:type="dxa"/>
            </w:tcMar>
          </w:tcPr>
          <w:p>
            <w:pPr>
              <w:pStyle w:val="TableText"/>
              <w:spacing w:after="0"/>
            </w:pPr>
            <w:r>
              <w:t>12–15</w:t>
            </w:r>
          </w:p>
        </w:tc>
        <w:tc>
          <w:tcPr>
            <w:tcW w:type="dxa" w:w="2880"/>
            <w:vAlign w:val="center"/>
            <w:tcMar>
              <w:top w:w="80" w:type="dxa"/>
              <w:start w:w="100" w:type="dxa"/>
              <w:bottom w:w="80" w:type="dxa"/>
              <w:end w:w="100" w:type="dxa"/>
            </w:tcMar>
          </w:tcPr>
          <w:p>
            <w:pPr>
              <w:pStyle w:val="TableText"/>
              <w:spacing w:after="0"/>
            </w:pPr>
            <w:r>
              <w:t>Must-have</w:t>
            </w:r>
          </w:p>
        </w:tc>
      </w:tr>
      <w:tr>
        <w:trPr>
          <w:trHeight w:hRule="atLeast"/>
        </w:trPr>
        <w:tc>
          <w:tcPr>
            <w:tcW w:type="dxa" w:w="3600"/>
            <w:vAlign w:val="center"/>
            <w:tcMar>
              <w:top w:w="80" w:type="dxa"/>
              <w:start w:w="100" w:type="dxa"/>
              <w:bottom w:w="80" w:type="dxa"/>
              <w:end w:w="100" w:type="dxa"/>
            </w:tcMar>
            <w:shd w:fill="F7FAFC"/>
          </w:tcPr>
          <w:p>
            <w:pPr>
              <w:pStyle w:val="TableText"/>
              <w:spacing w:after="0"/>
            </w:pPr>
            <w:r>
              <w:t>Onboarding</w:t>
            </w:r>
          </w:p>
        </w:tc>
        <w:tc>
          <w:tcPr>
            <w:tcW w:type="dxa" w:w="2880"/>
            <w:vAlign w:val="center"/>
            <w:tcMar>
              <w:top w:w="80" w:type="dxa"/>
              <w:start w:w="100" w:type="dxa"/>
              <w:bottom w:w="80" w:type="dxa"/>
              <w:end w:w="100" w:type="dxa"/>
            </w:tcMar>
            <w:shd w:fill="F7FAFC"/>
          </w:tcPr>
          <w:p>
            <w:pPr>
              <w:pStyle w:val="TableText"/>
              <w:spacing w:after="0"/>
            </w:pPr>
            <w:r>
              <w:t>8–10</w:t>
            </w:r>
          </w:p>
        </w:tc>
        <w:tc>
          <w:tcPr>
            <w:tcW w:type="dxa" w:w="2880"/>
            <w:vAlign w:val="center"/>
            <w:tcMar>
              <w:top w:w="80" w:type="dxa"/>
              <w:start w:w="100" w:type="dxa"/>
              <w:bottom w:w="80" w:type="dxa"/>
              <w:end w:w="100" w:type="dxa"/>
            </w:tcMar>
            <w:shd w:fill="F7FAFC"/>
          </w:tcPr>
          <w:p>
            <w:pPr>
              <w:pStyle w:val="TableText"/>
              <w:spacing w:after="0"/>
            </w:pPr>
            <w:r>
              <w:t>Must-have</w:t>
            </w:r>
          </w:p>
        </w:tc>
      </w:tr>
      <w:tr>
        <w:trPr>
          <w:trHeight w:hRule="atLeast"/>
        </w:trPr>
        <w:tc>
          <w:tcPr>
            <w:tcW w:type="dxa" w:w="3600"/>
            <w:vAlign w:val="center"/>
            <w:tcMar>
              <w:top w:w="80" w:type="dxa"/>
              <w:start w:w="100" w:type="dxa"/>
              <w:bottom w:w="80" w:type="dxa"/>
              <w:end w:w="100" w:type="dxa"/>
            </w:tcMar>
          </w:tcPr>
          <w:p>
            <w:pPr>
              <w:pStyle w:val="TableText"/>
              <w:spacing w:after="0"/>
            </w:pPr>
            <w:r>
              <w:t>Sponsor app</w:t>
            </w:r>
          </w:p>
        </w:tc>
        <w:tc>
          <w:tcPr>
            <w:tcW w:type="dxa" w:w="2880"/>
            <w:vAlign w:val="center"/>
            <w:tcMar>
              <w:top w:w="80" w:type="dxa"/>
              <w:start w:w="100" w:type="dxa"/>
              <w:bottom w:w="80" w:type="dxa"/>
              <w:end w:w="100" w:type="dxa"/>
            </w:tcMar>
          </w:tcPr>
          <w:p>
            <w:pPr>
              <w:pStyle w:val="TableText"/>
              <w:spacing w:after="0"/>
            </w:pPr>
            <w:r>
              <w:t>14–18</w:t>
            </w:r>
          </w:p>
        </w:tc>
        <w:tc>
          <w:tcPr>
            <w:tcW w:type="dxa" w:w="2880"/>
            <w:vAlign w:val="center"/>
            <w:tcMar>
              <w:top w:w="80" w:type="dxa"/>
              <w:start w:w="100" w:type="dxa"/>
              <w:bottom w:w="80" w:type="dxa"/>
              <w:end w:w="100" w:type="dxa"/>
            </w:tcMar>
          </w:tcPr>
          <w:p>
            <w:pPr>
              <w:pStyle w:val="TableText"/>
              <w:spacing w:after="0"/>
            </w:pPr>
            <w:r>
              <w:t>Must-have</w:t>
            </w:r>
          </w:p>
        </w:tc>
      </w:tr>
      <w:tr>
        <w:trPr>
          <w:trHeight w:hRule="atLeast"/>
        </w:trPr>
        <w:tc>
          <w:tcPr>
            <w:tcW w:type="dxa" w:w="3600"/>
            <w:vAlign w:val="center"/>
            <w:tcMar>
              <w:top w:w="80" w:type="dxa"/>
              <w:start w:w="100" w:type="dxa"/>
              <w:bottom w:w="80" w:type="dxa"/>
              <w:end w:w="100" w:type="dxa"/>
            </w:tcMar>
            <w:shd w:fill="F7FAFC"/>
          </w:tcPr>
          <w:p>
            <w:pPr>
              <w:pStyle w:val="TableText"/>
              <w:spacing w:after="0"/>
            </w:pPr>
            <w:r>
              <w:t>CDMO app</w:t>
            </w:r>
          </w:p>
        </w:tc>
        <w:tc>
          <w:tcPr>
            <w:tcW w:type="dxa" w:w="2880"/>
            <w:vAlign w:val="center"/>
            <w:tcMar>
              <w:top w:w="80" w:type="dxa"/>
              <w:start w:w="100" w:type="dxa"/>
              <w:bottom w:w="80" w:type="dxa"/>
              <w:end w:w="100" w:type="dxa"/>
            </w:tcMar>
            <w:shd w:fill="F7FAFC"/>
          </w:tcPr>
          <w:p>
            <w:pPr>
              <w:pStyle w:val="TableText"/>
              <w:spacing w:after="0"/>
            </w:pPr>
            <w:r>
              <w:t>10–12</w:t>
            </w:r>
          </w:p>
        </w:tc>
        <w:tc>
          <w:tcPr>
            <w:tcW w:type="dxa" w:w="2880"/>
            <w:vAlign w:val="center"/>
            <w:tcMar>
              <w:top w:w="80" w:type="dxa"/>
              <w:start w:w="100" w:type="dxa"/>
              <w:bottom w:w="80" w:type="dxa"/>
              <w:end w:w="100" w:type="dxa"/>
            </w:tcMar>
            <w:shd w:fill="F7FAFC"/>
          </w:tcPr>
          <w:p>
            <w:pPr>
              <w:pStyle w:val="TableText"/>
              <w:spacing w:after="0"/>
            </w:pPr>
            <w:r>
              <w:t>Must-have</w:t>
            </w:r>
          </w:p>
        </w:tc>
      </w:tr>
      <w:tr>
        <w:trPr>
          <w:trHeight w:hRule="atLeast"/>
        </w:trPr>
        <w:tc>
          <w:tcPr>
            <w:tcW w:type="dxa" w:w="3600"/>
            <w:vAlign w:val="center"/>
            <w:tcMar>
              <w:top w:w="80" w:type="dxa"/>
              <w:start w:w="100" w:type="dxa"/>
              <w:bottom w:w="80" w:type="dxa"/>
              <w:end w:w="100" w:type="dxa"/>
            </w:tcMar>
          </w:tcPr>
          <w:p>
            <w:pPr>
              <w:pStyle w:val="TableText"/>
              <w:spacing w:after="0"/>
            </w:pPr>
            <w:r>
              <w:t>CRO app</w:t>
            </w:r>
          </w:p>
        </w:tc>
        <w:tc>
          <w:tcPr>
            <w:tcW w:type="dxa" w:w="2880"/>
            <w:vAlign w:val="center"/>
            <w:tcMar>
              <w:top w:w="80" w:type="dxa"/>
              <w:start w:w="100" w:type="dxa"/>
              <w:bottom w:w="80" w:type="dxa"/>
              <w:end w:w="100" w:type="dxa"/>
            </w:tcMar>
          </w:tcPr>
          <w:p>
            <w:pPr>
              <w:pStyle w:val="TableText"/>
              <w:spacing w:after="0"/>
            </w:pPr>
            <w:r>
              <w:t>9–11</w:t>
            </w:r>
          </w:p>
        </w:tc>
        <w:tc>
          <w:tcPr>
            <w:tcW w:type="dxa" w:w="2880"/>
            <w:vAlign w:val="center"/>
            <w:tcMar>
              <w:top w:w="80" w:type="dxa"/>
              <w:start w:w="100" w:type="dxa"/>
              <w:bottom w:w="80" w:type="dxa"/>
              <w:end w:w="100" w:type="dxa"/>
            </w:tcMar>
          </w:tcPr>
          <w:p>
            <w:pPr>
              <w:pStyle w:val="TableText"/>
              <w:spacing w:after="0"/>
            </w:pPr>
            <w:r>
              <w:t>Must-have</w:t>
            </w:r>
          </w:p>
        </w:tc>
      </w:tr>
      <w:tr>
        <w:trPr>
          <w:trHeight w:hRule="atLeast"/>
        </w:trPr>
        <w:tc>
          <w:tcPr>
            <w:tcW w:type="dxa" w:w="3600"/>
            <w:vAlign w:val="center"/>
            <w:tcMar>
              <w:top w:w="80" w:type="dxa"/>
              <w:start w:w="100" w:type="dxa"/>
              <w:bottom w:w="80" w:type="dxa"/>
              <w:end w:w="100" w:type="dxa"/>
            </w:tcMar>
            <w:shd w:fill="F7FAFC"/>
          </w:tcPr>
          <w:p>
            <w:pPr>
              <w:pStyle w:val="TableText"/>
              <w:spacing w:after="0"/>
            </w:pPr>
            <w:r>
              <w:t>Admin app</w:t>
            </w:r>
          </w:p>
        </w:tc>
        <w:tc>
          <w:tcPr>
            <w:tcW w:type="dxa" w:w="2880"/>
            <w:vAlign w:val="center"/>
            <w:tcMar>
              <w:top w:w="80" w:type="dxa"/>
              <w:start w:w="100" w:type="dxa"/>
              <w:bottom w:w="80" w:type="dxa"/>
              <w:end w:w="100" w:type="dxa"/>
            </w:tcMar>
            <w:shd w:fill="F7FAFC"/>
          </w:tcPr>
          <w:p>
            <w:pPr>
              <w:pStyle w:val="TableText"/>
              <w:spacing w:after="0"/>
            </w:pPr>
            <w:r>
              <w:t>10–12</w:t>
            </w:r>
          </w:p>
        </w:tc>
        <w:tc>
          <w:tcPr>
            <w:tcW w:type="dxa" w:w="2880"/>
            <w:vAlign w:val="center"/>
            <w:tcMar>
              <w:top w:w="80" w:type="dxa"/>
              <w:start w:w="100" w:type="dxa"/>
              <w:bottom w:w="80" w:type="dxa"/>
              <w:end w:w="100" w:type="dxa"/>
            </w:tcMar>
            <w:shd w:fill="F7FAFC"/>
          </w:tcPr>
          <w:p>
            <w:pPr>
              <w:pStyle w:val="TableText"/>
              <w:spacing w:after="0"/>
            </w:pPr>
            <w:r>
              <w:t>Must-have</w:t>
            </w:r>
          </w:p>
        </w:tc>
      </w:tr>
    </w:tbl>
    <w:p>
      <w:pPr/>
      <w:r>
        <w:t>Target scope: approximately 55–70 screens total. Codex may implement shared components once and reuse them across routes.</w:t>
      </w:r>
    </w:p>
    <w:p>
      <w:pPr>
        <w:pStyle w:val="SectionPB"/>
      </w:pPr>
      <w:r>
        <w:t>13. Navigation and Route Planning</w:t>
      </w:r>
    </w:p>
    <w:p>
      <w:pPr>
        <w:pStyle w:val="SubsectionPB"/>
      </w:pPr>
      <w:r>
        <w:t>Recommended route groups</w:t>
      </w:r>
    </w:p>
    <w:tbl>
      <w:tblPr>
        <w:tblStyle w:val="TableGrid"/>
        <w:tblW w:type="auto" w:w="0"/>
        <w:jc w:val="center"/>
        <w:tblLook w:firstColumn="1" w:firstRow="1" w:lastColumn="0" w:lastRow="0" w:noHBand="0" w:noVBand="1" w:val="04A0"/>
      </w:tblPr>
      <w:tblGrid>
        <w:gridCol w:w="4968"/>
        <w:gridCol w:w="4968"/>
      </w:tblGrid>
      <w:tr>
        <w:trPr>
          <w:trHeight w:hRule="atLeast"/>
        </w:trPr>
        <w:tc>
          <w:tcPr>
            <w:tcW w:type="dxa" w:w="2304"/>
            <w:vAlign w:val="center"/>
            <w:tcMar>
              <w:top w:w="80" w:type="dxa"/>
              <w:start w:w="100" w:type="dxa"/>
              <w:bottom w:w="80" w:type="dxa"/>
              <w:end w:w="100" w:type="dxa"/>
            </w:tcMar>
            <w:shd w:fill="0B7070"/>
          </w:tcPr>
          <w:p>
            <w:pPr>
              <w:pStyle w:val="TableText"/>
              <w:spacing w:after="0"/>
            </w:pPr>
            <w:r>
              <w:rPr>
                <w:b/>
                <w:color w:val="FFFFFF"/>
              </w:rPr>
              <w:t>Route group</w:t>
            </w:r>
          </w:p>
        </w:tc>
        <w:tc>
          <w:tcPr>
            <w:tcW w:type="dxa" w:w="9216"/>
            <w:vAlign w:val="center"/>
            <w:tcMar>
              <w:top w:w="80" w:type="dxa"/>
              <w:start w:w="100" w:type="dxa"/>
              <w:bottom w:w="80" w:type="dxa"/>
              <w:end w:w="100" w:type="dxa"/>
            </w:tcMar>
            <w:shd w:fill="0B7070"/>
          </w:tcPr>
          <w:p>
            <w:pPr>
              <w:pStyle w:val="TableText"/>
              <w:spacing w:after="0"/>
            </w:pPr>
            <w:r>
              <w:rPr>
                <w:b/>
                <w:color w:val="FFFFFF"/>
              </w:rPr>
              <w:t>Suggested structure</w:t>
            </w:r>
          </w:p>
        </w:tc>
      </w:tr>
      <w:tr>
        <w:trPr>
          <w:trHeight w:hRule="atLeast"/>
        </w:trPr>
        <w:tc>
          <w:tcPr>
            <w:tcW w:type="dxa" w:w="2304"/>
            <w:vAlign w:val="center"/>
            <w:tcMar>
              <w:top w:w="80" w:type="dxa"/>
              <w:start w:w="100" w:type="dxa"/>
              <w:bottom w:w="80" w:type="dxa"/>
              <w:end w:w="100" w:type="dxa"/>
            </w:tcMar>
          </w:tcPr>
          <w:p>
            <w:pPr>
              <w:pStyle w:val="TableText"/>
              <w:spacing w:after="0"/>
            </w:pPr>
            <w:r>
              <w:t>Public</w:t>
            </w:r>
          </w:p>
        </w:tc>
        <w:tc>
          <w:tcPr>
            <w:tcW w:type="dxa" w:w="9216"/>
            <w:vAlign w:val="center"/>
            <w:tcMar>
              <w:top w:w="80" w:type="dxa"/>
              <w:start w:w="100" w:type="dxa"/>
              <w:bottom w:w="80" w:type="dxa"/>
              <w:end w:w="100" w:type="dxa"/>
            </w:tcMar>
          </w:tcPr>
          <w:p>
            <w:pPr>
              <w:pStyle w:val="TableText"/>
              <w:spacing w:after="0"/>
            </w:pPr>
            <w:r>
              <w:t>/, /how-it-works, /solutions/sponsor, /solutions/cdmo, /solutions/cro, /intelligence, /rfp, /score, /pricing, /about, /contact, /trust</w:t>
            </w:r>
          </w:p>
        </w:tc>
      </w:tr>
      <w:tr>
        <w:trPr>
          <w:trHeight w:hRule="atLeast"/>
        </w:trPr>
        <w:tc>
          <w:tcPr>
            <w:tcW w:type="dxa" w:w="2304"/>
            <w:vAlign w:val="center"/>
            <w:tcMar>
              <w:top w:w="80" w:type="dxa"/>
              <w:start w:w="100" w:type="dxa"/>
              <w:bottom w:w="80" w:type="dxa"/>
              <w:end w:w="100" w:type="dxa"/>
            </w:tcMar>
            <w:shd w:fill="F7FAFC"/>
          </w:tcPr>
          <w:p>
            <w:pPr>
              <w:pStyle w:val="TableText"/>
              <w:spacing w:after="0"/>
            </w:pPr>
            <w:r>
              <w:t>Onboarding</w:t>
            </w:r>
          </w:p>
        </w:tc>
        <w:tc>
          <w:tcPr>
            <w:tcW w:type="dxa" w:w="9216"/>
            <w:vAlign w:val="center"/>
            <w:tcMar>
              <w:top w:w="80" w:type="dxa"/>
              <w:start w:w="100" w:type="dxa"/>
              <w:bottom w:w="80" w:type="dxa"/>
              <w:end w:w="100" w:type="dxa"/>
            </w:tcMar>
            <w:shd w:fill="F7FAFC"/>
          </w:tcPr>
          <w:p>
            <w:pPr>
              <w:pStyle w:val="TableText"/>
              <w:spacing w:after="0"/>
            </w:pPr>
            <w:r>
              <w:t>/get-started, /auth/login, /onboarding/sponsor/*, /onboarding/cdmo/*, /onboarding/cro/*, /onboarding/submitted, /onboarding/pending</w:t>
            </w:r>
          </w:p>
        </w:tc>
      </w:tr>
      <w:tr>
        <w:trPr>
          <w:trHeight w:hRule="atLeast"/>
        </w:trPr>
        <w:tc>
          <w:tcPr>
            <w:tcW w:type="dxa" w:w="2304"/>
            <w:vAlign w:val="center"/>
            <w:tcMar>
              <w:top w:w="80" w:type="dxa"/>
              <w:start w:w="100" w:type="dxa"/>
              <w:bottom w:w="80" w:type="dxa"/>
              <w:end w:w="100" w:type="dxa"/>
            </w:tcMar>
          </w:tcPr>
          <w:p>
            <w:pPr>
              <w:pStyle w:val="TableText"/>
              <w:spacing w:after="0"/>
            </w:pPr>
            <w:r>
              <w:t>Sponsor app</w:t>
            </w:r>
          </w:p>
        </w:tc>
        <w:tc>
          <w:tcPr>
            <w:tcW w:type="dxa" w:w="9216"/>
            <w:vAlign w:val="center"/>
            <w:tcMar>
              <w:top w:w="80" w:type="dxa"/>
              <w:start w:w="100" w:type="dxa"/>
              <w:bottom w:w="80" w:type="dxa"/>
              <w:end w:w="100" w:type="dxa"/>
            </w:tcMar>
          </w:tcPr>
          <w:p>
            <w:pPr>
              <w:pStyle w:val="TableText"/>
              <w:spacing w:after="0"/>
            </w:pPr>
            <w:r>
              <w:t>/app/sponsor/dashboard, /programmes, /programmes/[id], /search, /vendors/[id], /compare, /shortlists, /rfps, /rfps/new, /rfps/[id], /projects/[id], /payments, /intelligence, /documents, /settings</w:t>
            </w:r>
          </w:p>
        </w:tc>
      </w:tr>
      <w:tr>
        <w:trPr>
          <w:trHeight w:hRule="atLeast"/>
        </w:trPr>
        <w:tc>
          <w:tcPr>
            <w:tcW w:type="dxa" w:w="2304"/>
            <w:vAlign w:val="center"/>
            <w:tcMar>
              <w:top w:w="80" w:type="dxa"/>
              <w:start w:w="100" w:type="dxa"/>
              <w:bottom w:w="80" w:type="dxa"/>
              <w:end w:w="100" w:type="dxa"/>
            </w:tcMar>
            <w:shd w:fill="F7FAFC"/>
          </w:tcPr>
          <w:p>
            <w:pPr>
              <w:pStyle w:val="TableText"/>
              <w:spacing w:after="0"/>
            </w:pPr>
            <w:r>
              <w:t>CDMO app</w:t>
            </w:r>
          </w:p>
        </w:tc>
        <w:tc>
          <w:tcPr>
            <w:tcW w:type="dxa" w:w="9216"/>
            <w:vAlign w:val="center"/>
            <w:tcMar>
              <w:top w:w="80" w:type="dxa"/>
              <w:start w:w="100" w:type="dxa"/>
              <w:bottom w:w="80" w:type="dxa"/>
              <w:end w:w="100" w:type="dxa"/>
            </w:tcMar>
            <w:shd w:fill="F7FAFC"/>
          </w:tcPr>
          <w:p>
            <w:pPr>
              <w:pStyle w:val="TableText"/>
              <w:spacing w:after="0"/>
            </w:pPr>
            <w:r>
              <w:t>/app/cdmo/dashboard, /profile, /facilities, /capabilities, /capacity, /certificates, /rfps, /proposals/[id], /projects, /score, /billing, /settings</w:t>
            </w:r>
          </w:p>
        </w:tc>
      </w:tr>
      <w:tr>
        <w:trPr>
          <w:trHeight w:hRule="atLeast"/>
        </w:trPr>
        <w:tc>
          <w:tcPr>
            <w:tcW w:type="dxa" w:w="2304"/>
            <w:vAlign w:val="center"/>
            <w:tcMar>
              <w:top w:w="80" w:type="dxa"/>
              <w:start w:w="100" w:type="dxa"/>
              <w:bottom w:w="80" w:type="dxa"/>
              <w:end w:w="100" w:type="dxa"/>
            </w:tcMar>
          </w:tcPr>
          <w:p>
            <w:pPr>
              <w:pStyle w:val="TableText"/>
              <w:spacing w:after="0"/>
            </w:pPr>
            <w:r>
              <w:t>CRO app</w:t>
            </w:r>
          </w:p>
        </w:tc>
        <w:tc>
          <w:tcPr>
            <w:tcW w:type="dxa" w:w="9216"/>
            <w:vAlign w:val="center"/>
            <w:tcMar>
              <w:top w:w="80" w:type="dxa"/>
              <w:start w:w="100" w:type="dxa"/>
              <w:bottom w:w="80" w:type="dxa"/>
              <w:end w:w="100" w:type="dxa"/>
            </w:tcMar>
          </w:tcPr>
          <w:p>
            <w:pPr>
              <w:pStyle w:val="TableText"/>
              <w:spacing w:after="0"/>
            </w:pPr>
            <w:r>
              <w:t>/app/cro/dashboard, /profile, /services, /therapeutic-areas, /accreditations, /capacity, /rfps, /proposals/[id], /projects, /intelligence, /settings</w:t>
            </w:r>
          </w:p>
        </w:tc>
      </w:tr>
      <w:tr>
        <w:trPr>
          <w:trHeight w:hRule="atLeast"/>
        </w:trPr>
        <w:tc>
          <w:tcPr>
            <w:tcW w:type="dxa" w:w="2304"/>
            <w:vAlign w:val="center"/>
            <w:tcMar>
              <w:top w:w="80" w:type="dxa"/>
              <w:start w:w="100" w:type="dxa"/>
              <w:bottom w:w="80" w:type="dxa"/>
              <w:end w:w="100" w:type="dxa"/>
            </w:tcMar>
            <w:shd w:fill="F7FAFC"/>
          </w:tcPr>
          <w:p>
            <w:pPr>
              <w:pStyle w:val="TableText"/>
              <w:spacing w:after="0"/>
            </w:pPr>
            <w:r>
              <w:t>Admin app</w:t>
            </w:r>
          </w:p>
        </w:tc>
        <w:tc>
          <w:tcPr>
            <w:tcW w:type="dxa" w:w="9216"/>
            <w:vAlign w:val="center"/>
            <w:tcMar>
              <w:top w:w="80" w:type="dxa"/>
              <w:start w:w="100" w:type="dxa"/>
              <w:bottom w:w="80" w:type="dxa"/>
              <w:end w:w="100" w:type="dxa"/>
            </w:tcMar>
            <w:shd w:fill="F7FAFC"/>
          </w:tcPr>
          <w:p>
            <w:pPr>
              <w:pStyle w:val="TableText"/>
              <w:spacing w:after="0"/>
            </w:pPr>
            <w:r>
              <w:t>/app/admin/overview, /kyb, /organisations/[id], /certificates, /audits, /disputes, /fraud, /intelligence-qa, /users, /reports</w:t>
            </w:r>
          </w:p>
        </w:tc>
      </w:tr>
    </w:tbl>
    <w:p/>
    <w:p>
      <w:pPr>
        <w:pStyle w:val="SectionPB"/>
      </w:pPr>
      <w:r>
        <w:t>14. Reusable Component Library</w:t>
      </w:r>
    </w:p>
    <w:p>
      <w:pPr>
        <w:ind w:left="259" w:hanging="173"/>
      </w:pPr>
      <w:r>
        <w:rPr>
          <w:b/>
        </w:rPr>
        <w:t xml:space="preserve">• </w:t>
      </w:r>
      <w:r>
        <w:t>Top navigation and app shell</w:t>
      </w:r>
    </w:p>
    <w:p>
      <w:pPr>
        <w:ind w:left="259" w:hanging="173"/>
      </w:pPr>
      <w:r>
        <w:rPr>
          <w:b/>
        </w:rPr>
        <w:t xml:space="preserve">• </w:t>
      </w:r>
      <w:r>
        <w:t>Role switch / role badge</w:t>
      </w:r>
    </w:p>
    <w:p>
      <w:pPr>
        <w:ind w:left="259" w:hanging="173"/>
      </w:pPr>
      <w:r>
        <w:rPr>
          <w:b/>
        </w:rPr>
        <w:t xml:space="preserve">• </w:t>
      </w:r>
      <w:r>
        <w:t>Hero sections and stat cards</w:t>
      </w:r>
    </w:p>
    <w:p>
      <w:pPr>
        <w:ind w:left="259" w:hanging="173"/>
      </w:pPr>
      <w:r>
        <w:rPr>
          <w:b/>
        </w:rPr>
        <w:t xml:space="preserve">• </w:t>
      </w:r>
      <w:r>
        <w:t>Search/filter toolbar</w:t>
      </w:r>
    </w:p>
    <w:p>
      <w:pPr>
        <w:ind w:left="259" w:hanging="173"/>
      </w:pPr>
      <w:r>
        <w:rPr>
          <w:b/>
        </w:rPr>
        <w:t xml:space="preserve">• </w:t>
      </w:r>
      <w:r>
        <w:t>Vendor result card</w:t>
      </w:r>
    </w:p>
    <w:p>
      <w:pPr>
        <w:ind w:left="259" w:hanging="173"/>
      </w:pPr>
      <w:r>
        <w:rPr>
          <w:b/>
        </w:rPr>
        <w:t xml:space="preserve">• </w:t>
      </w:r>
      <w:r>
        <w:t>Score badge and risk flag chips</w:t>
      </w:r>
    </w:p>
    <w:p>
      <w:pPr>
        <w:ind w:left="259" w:hanging="173"/>
      </w:pPr>
      <w:r>
        <w:rPr>
          <w:b/>
        </w:rPr>
        <w:t xml:space="preserve">• </w:t>
      </w:r>
      <w:r>
        <w:t>Compare drawer / compare table</w:t>
      </w:r>
    </w:p>
    <w:p>
      <w:pPr>
        <w:ind w:left="259" w:hanging="173"/>
      </w:pPr>
      <w:r>
        <w:rPr>
          <w:b/>
        </w:rPr>
        <w:t xml:space="preserve">• </w:t>
      </w:r>
      <w:r>
        <w:t>Stepper / wizard header</w:t>
      </w:r>
    </w:p>
    <w:p>
      <w:pPr>
        <w:ind w:left="259" w:hanging="173"/>
      </w:pPr>
      <w:r>
        <w:rPr>
          <w:b/>
        </w:rPr>
        <w:t xml:space="preserve">• </w:t>
      </w:r>
      <w:r>
        <w:t>Progress timeline</w:t>
      </w:r>
    </w:p>
    <w:p>
      <w:pPr>
        <w:ind w:left="259" w:hanging="173"/>
      </w:pPr>
      <w:r>
        <w:rPr>
          <w:b/>
        </w:rPr>
        <w:t xml:space="preserve">• </w:t>
      </w:r>
      <w:r>
        <w:t>Alert feed cards</w:t>
      </w:r>
    </w:p>
    <w:p>
      <w:pPr>
        <w:ind w:left="259" w:hanging="173"/>
      </w:pPr>
      <w:r>
        <w:rPr>
          <w:b/>
        </w:rPr>
        <w:t xml:space="preserve">• </w:t>
      </w:r>
      <w:r>
        <w:t>Document tile and file metadata card</w:t>
      </w:r>
    </w:p>
    <w:p>
      <w:pPr>
        <w:ind w:left="259" w:hanging="173"/>
      </w:pPr>
      <w:r>
        <w:rPr>
          <w:b/>
        </w:rPr>
        <w:t xml:space="preserve">• </w:t>
      </w:r>
      <w:r>
        <w:t>Milestone card and milestone status rail</w:t>
      </w:r>
    </w:p>
    <w:p>
      <w:pPr>
        <w:ind w:left="259" w:hanging="173"/>
      </w:pPr>
      <w:r>
        <w:rPr>
          <w:b/>
        </w:rPr>
        <w:t xml:space="preserve">• </w:t>
      </w:r>
      <w:r>
        <w:t>Proposal scorecard</w:t>
      </w:r>
    </w:p>
    <w:p>
      <w:pPr>
        <w:ind w:left="259" w:hanging="173"/>
      </w:pPr>
      <w:r>
        <w:rPr>
          <w:b/>
        </w:rPr>
        <w:t xml:space="preserve">• </w:t>
      </w:r>
      <w:r>
        <w:t>Metric strip / KPI widgets</w:t>
      </w:r>
    </w:p>
    <w:p>
      <w:pPr>
        <w:ind w:left="259" w:hanging="173"/>
      </w:pPr>
      <w:r>
        <w:rPr>
          <w:b/>
        </w:rPr>
        <w:t xml:space="preserve">• </w:t>
      </w:r>
      <w:r>
        <w:t>Data table with filters and saved views</w:t>
      </w:r>
    </w:p>
    <w:p>
      <w:pPr>
        <w:ind w:left="259" w:hanging="173"/>
      </w:pPr>
      <w:r>
        <w:rPr>
          <w:b/>
        </w:rPr>
        <w:t xml:space="preserve">• </w:t>
      </w:r>
      <w:r>
        <w:t>Side panel for quick actions</w:t>
      </w:r>
    </w:p>
    <w:p>
      <w:pPr>
        <w:ind w:left="259" w:hanging="173"/>
      </w:pPr>
      <w:r>
        <w:rPr>
          <w:b/>
        </w:rPr>
        <w:t xml:space="preserve">• </w:t>
      </w:r>
      <w:r>
        <w:t>Status modals and success/error states</w:t>
      </w:r>
    </w:p>
    <w:p>
      <w:pPr>
        <w:ind w:left="259" w:hanging="173"/>
      </w:pPr>
      <w:r>
        <w:rPr>
          <w:b/>
        </w:rPr>
        <w:t xml:space="preserve">• </w:t>
      </w:r>
      <w:r>
        <w:t>Empty state illustration block</w:t>
      </w:r>
    </w:p>
    <w:p>
      <w:pPr>
        <w:ind w:left="259" w:hanging="173"/>
      </w:pPr>
      <w:r>
        <w:rPr>
          <w:b/>
        </w:rPr>
        <w:t xml:space="preserve">• </w:t>
      </w:r>
      <w:r>
        <w:t>Pricing card and feature tier matrix</w:t>
      </w:r>
    </w:p>
    <w:tbl>
      <w:tblPr>
        <w:tblW w:type="auto" w:w="0"/>
        <w:jc w:val="center"/>
        <w:tblLook w:firstColumn="1" w:firstRow="1" w:lastColumn="0" w:lastRow="0" w:noHBand="0" w:noVBand="1" w:val="04A0"/>
      </w:tblPr>
      <w:tblGrid>
        <w:gridCol w:w="9936"/>
      </w:tblGrid>
      <w:tr>
        <w:tc>
          <w:tcPr>
            <w:tcW w:type="dxa" w:w="9936"/>
            <w:shd w:fill="EEF7F6"/>
            <w:tcMar>
              <w:top w:w="120" w:type="dxa"/>
              <w:start w:w="160" w:type="dxa"/>
              <w:bottom w:w="120" w:type="dxa"/>
              <w:end w:w="160" w:type="dxa"/>
            </w:tcMar>
          </w:tcPr>
          <w:p>
            <w:pPr>
              <w:pStyle w:val="CalloutPB"/>
            </w:pPr>
            <w:r>
              <w:rPr>
                <w:b/>
                <w:color w:val="085050"/>
              </w:rPr>
              <w:t xml:space="preserve">Build system recommendation. </w:t>
            </w:r>
            <w:r>
              <w:t>Codex should first create a clean component library and token system, then implement pages. Shared primitives should include cards, chips, tabs, data panels, tables, steppers, timelines, modals, and alert patterns so the large page count stays consistent.</w:t>
            </w:r>
          </w:p>
        </w:tc>
      </w:tr>
    </w:tbl>
    <w:p/>
    <w:p>
      <w:pPr>
        <w:pStyle w:val="SectionPB"/>
      </w:pPr>
      <w:r>
        <w:t>15. Data and Content Assumptions for Prototype</w:t>
      </w:r>
    </w:p>
    <w:p>
      <w:pPr>
        <w:ind w:left="259" w:hanging="173"/>
      </w:pPr>
      <w:r>
        <w:rPr>
          <w:b/>
        </w:rPr>
        <w:t xml:space="preserve">• </w:t>
      </w:r>
      <w:r>
        <w:t>Use mock organizations, programmes, vendors, and alerts that feel plausible for pharmaceutical outsourcing.</w:t>
      </w:r>
    </w:p>
    <w:p>
      <w:pPr>
        <w:ind w:left="259" w:hanging="173"/>
      </w:pPr>
      <w:r>
        <w:rPr>
          <w:b/>
        </w:rPr>
        <w:t xml:space="preserve">• </w:t>
      </w:r>
      <w:r>
        <w:t>Include realistic modalities such as ADC, LNP/mRNA, Gene &amp; Cell Therapy, mAbs, Small Molecules, Peptides, Radiopharmaceuticals, PROTACs, and Oligonucleotides.</w:t>
      </w:r>
    </w:p>
    <w:p>
      <w:pPr>
        <w:ind w:left="259" w:hanging="173"/>
      </w:pPr>
      <w:r>
        <w:rPr>
          <w:b/>
        </w:rPr>
        <w:t xml:space="preserve">• </w:t>
      </w:r>
      <w:r>
        <w:t>Vendor profiles should expose regulatory status, capacity, geography, therapeutic fit, service platforms, score values, and notable risks.</w:t>
      </w:r>
    </w:p>
    <w:p>
      <w:pPr>
        <w:ind w:left="259" w:hanging="173"/>
      </w:pPr>
      <w:r>
        <w:rPr>
          <w:b/>
        </w:rPr>
        <w:t xml:space="preserve">• </w:t>
      </w:r>
      <w:r>
        <w:t>Programme and RFP content should show clear modality, phase, scope, timelines, quality requirements, and commercial assumptions.</w:t>
      </w:r>
    </w:p>
    <w:p>
      <w:pPr>
        <w:ind w:left="259" w:hanging="173"/>
      </w:pPr>
      <w:r>
        <w:rPr>
          <w:b/>
        </w:rPr>
        <w:t xml:space="preserve">• </w:t>
      </w:r>
      <w:r>
        <w:t>Admin queues should include pending reviews, flagged certificates, disputes, and fraud/compliance signals.</w:t>
      </w:r>
    </w:p>
    <w:p>
      <w:pPr>
        <w:ind w:left="259" w:hanging="173"/>
      </w:pPr>
      <w:r>
        <w:rPr>
          <w:b/>
        </w:rPr>
        <w:t xml:space="preserve">• </w:t>
      </w:r>
      <w:r>
        <w:t>Use representative sample data for counts, percentages, score breakdowns, and timelines. Do not use lorem ipsum in dashboards.</w:t>
      </w:r>
    </w:p>
    <w:p>
      <w:pPr>
        <w:pStyle w:val="SectionPB"/>
      </w:pPr>
      <w:r>
        <w:t>16. Required UI States</w:t>
      </w:r>
    </w:p>
    <w:p>
      <w:pPr>
        <w:ind w:left="259" w:hanging="173"/>
      </w:pPr>
      <w:r>
        <w:rPr>
          <w:b/>
        </w:rPr>
        <w:t xml:space="preserve">• </w:t>
      </w:r>
      <w:r>
        <w:t>Loading / processing</w:t>
      </w:r>
    </w:p>
    <w:p>
      <w:pPr>
        <w:ind w:left="259" w:hanging="173"/>
      </w:pPr>
      <w:r>
        <w:rPr>
          <w:b/>
        </w:rPr>
        <w:t xml:space="preserve">• </w:t>
      </w:r>
      <w:r>
        <w:t>AI matching in progress</w:t>
      </w:r>
    </w:p>
    <w:p>
      <w:pPr>
        <w:ind w:left="259" w:hanging="173"/>
      </w:pPr>
      <w:r>
        <w:rPr>
          <w:b/>
        </w:rPr>
        <w:t xml:space="preserve">• </w:t>
      </w:r>
      <w:r>
        <w:t>Submitted / under review</w:t>
      </w:r>
    </w:p>
    <w:p>
      <w:pPr>
        <w:ind w:left="259" w:hanging="173"/>
      </w:pPr>
      <w:r>
        <w:rPr>
          <w:b/>
        </w:rPr>
        <w:t xml:space="preserve">• </w:t>
      </w:r>
      <w:r>
        <w:t>Verified / approved</w:t>
      </w:r>
    </w:p>
    <w:p>
      <w:pPr>
        <w:ind w:left="259" w:hanging="173"/>
      </w:pPr>
      <w:r>
        <w:rPr>
          <w:b/>
        </w:rPr>
        <w:t xml:space="preserve">• </w:t>
      </w:r>
      <w:r>
        <w:t>Needs action / missing documents</w:t>
      </w:r>
    </w:p>
    <w:p>
      <w:pPr>
        <w:ind w:left="259" w:hanging="173"/>
      </w:pPr>
      <w:r>
        <w:rPr>
          <w:b/>
        </w:rPr>
        <w:t xml:space="preserve">• </w:t>
      </w:r>
      <w:r>
        <w:t>No results / weak results / partial fit</w:t>
      </w:r>
    </w:p>
    <w:p>
      <w:pPr>
        <w:ind w:left="259" w:hanging="173"/>
      </w:pPr>
      <w:r>
        <w:rPr>
          <w:b/>
        </w:rPr>
        <w:t xml:space="preserve">• </w:t>
      </w:r>
      <w:r>
        <w:t>Shortlist saved</w:t>
      </w:r>
    </w:p>
    <w:p>
      <w:pPr>
        <w:ind w:left="259" w:hanging="173"/>
      </w:pPr>
      <w:r>
        <w:rPr>
          <w:b/>
        </w:rPr>
        <w:t xml:space="preserve">• </w:t>
      </w:r>
      <w:r>
        <w:t>NDA required</w:t>
      </w:r>
    </w:p>
    <w:p>
      <w:pPr>
        <w:ind w:left="259" w:hanging="173"/>
      </w:pPr>
      <w:r>
        <w:rPr>
          <w:b/>
        </w:rPr>
        <w:t xml:space="preserve">• </w:t>
      </w:r>
      <w:r>
        <w:t>Proposal submitted</w:t>
      </w:r>
    </w:p>
    <w:p>
      <w:pPr>
        <w:ind w:left="259" w:hanging="173"/>
      </w:pPr>
      <w:r>
        <w:rPr>
          <w:b/>
        </w:rPr>
        <w:t xml:space="preserve">• </w:t>
      </w:r>
      <w:r>
        <w:t>Awaiting sponsor review</w:t>
      </w:r>
    </w:p>
    <w:p>
      <w:pPr>
        <w:ind w:left="259" w:hanging="173"/>
      </w:pPr>
      <w:r>
        <w:rPr>
          <w:b/>
        </w:rPr>
        <w:t xml:space="preserve">• </w:t>
      </w:r>
      <w:r>
        <w:t>Milestone overdue</w:t>
      </w:r>
    </w:p>
    <w:p>
      <w:pPr>
        <w:ind w:left="259" w:hanging="173"/>
      </w:pPr>
      <w:r>
        <w:rPr>
          <w:b/>
        </w:rPr>
        <w:t xml:space="preserve">• </w:t>
      </w:r>
      <w:r>
        <w:t>Dispute open</w:t>
      </w:r>
    </w:p>
    <w:p>
      <w:pPr>
        <w:ind w:left="259" w:hanging="173"/>
      </w:pPr>
      <w:r>
        <w:rPr>
          <w:b/>
        </w:rPr>
        <w:t xml:space="preserve">• </w:t>
      </w:r>
      <w:r>
        <w:t>Certificate expiring</w:t>
      </w:r>
    </w:p>
    <w:p>
      <w:pPr>
        <w:ind w:left="259" w:hanging="173"/>
      </w:pPr>
      <w:r>
        <w:rPr>
          <w:b/>
        </w:rPr>
        <w:t xml:space="preserve">• </w:t>
      </w:r>
      <w:r>
        <w:t>Capacity tight / critical</w:t>
      </w:r>
    </w:p>
    <w:p>
      <w:pPr>
        <w:ind w:left="259" w:hanging="173"/>
      </w:pPr>
      <w:r>
        <w:rPr>
          <w:b/>
        </w:rPr>
        <w:t xml:space="preserve">• </w:t>
      </w:r>
      <w:r>
        <w:t>Profile flagged / suspended</w:t>
      </w:r>
    </w:p>
    <w:p>
      <w:pPr>
        <w:pStyle w:val="SectionPB"/>
      </w:pPr>
      <w:r>
        <w:t>17. Responsive, Layout, and Motion Guidance</w:t>
      </w:r>
    </w:p>
    <w:p>
      <w:pPr>
        <w:ind w:left="259" w:hanging="173"/>
      </w:pPr>
      <w:r>
        <w:rPr>
          <w:b/>
        </w:rPr>
        <w:t xml:space="preserve">• </w:t>
      </w:r>
      <w:r>
        <w:t>Design desktop-first, but maintain polished tablet and mobile layouts for core pages.</w:t>
      </w:r>
    </w:p>
    <w:p>
      <w:pPr>
        <w:ind w:left="259" w:hanging="173"/>
      </w:pPr>
      <w:r>
        <w:rPr>
          <w:b/>
        </w:rPr>
        <w:t xml:space="preserve">• </w:t>
      </w:r>
      <w:r>
        <w:t>Public pages should feel expansive, editorial, and trust-building.</w:t>
      </w:r>
    </w:p>
    <w:p>
      <w:pPr>
        <w:ind w:left="259" w:hanging="173"/>
      </w:pPr>
      <w:r>
        <w:rPr>
          <w:b/>
        </w:rPr>
        <w:t xml:space="preserve">• </w:t>
      </w:r>
      <w:r>
        <w:t>Authenticated pages should use denser dashboard and workflow layouts.</w:t>
      </w:r>
    </w:p>
    <w:p>
      <w:pPr>
        <w:ind w:left="259" w:hanging="173"/>
      </w:pPr>
      <w:r>
        <w:rPr>
          <w:b/>
        </w:rPr>
        <w:t xml:space="preserve">• </w:t>
      </w:r>
      <w:r>
        <w:t>Use restrained motion: card lifts, tab transitions, drawer transitions, count-up stats, and subtle timeline progression. Avoid playful consumer-grade animation.</w:t>
      </w:r>
    </w:p>
    <w:p>
      <w:pPr>
        <w:ind w:left="259" w:hanging="173"/>
      </w:pPr>
      <w:r>
        <w:rPr>
          <w:b/>
        </w:rPr>
        <w:t xml:space="preserve">• </w:t>
      </w:r>
      <w:r>
        <w:t>Preserve readability: never crowd metrics, score labels, or comparison tables.</w:t>
      </w:r>
    </w:p>
    <w:p>
      <w:pPr>
        <w:pStyle w:val="SectionPB"/>
      </w:pPr>
      <w:r>
        <w:t>18. Build Sequencing for Codex</w:t>
      </w:r>
    </w:p>
    <w:p>
      <w:pPr>
        <w:ind w:left="173" w:hanging="173"/>
      </w:pPr>
      <w:r>
        <w:rPr>
          <w:b/>
        </w:rPr>
        <w:t xml:space="preserve">1. </w:t>
      </w:r>
      <w:r>
        <w:t>Phase 1 — foundation: tokens, typography, color system, spacing, shared layout, navigation, and base components.</w:t>
      </w:r>
    </w:p>
    <w:p>
      <w:pPr>
        <w:ind w:left="173" w:hanging="173"/>
      </w:pPr>
      <w:r>
        <w:rPr>
          <w:b/>
        </w:rPr>
        <w:t xml:space="preserve">2. </w:t>
      </w:r>
      <w:r>
        <w:t>Phase 2 — public website: Home, core solution pages, pricing, about, contact, trust.</w:t>
      </w:r>
    </w:p>
    <w:p>
      <w:pPr>
        <w:ind w:left="173" w:hanging="173"/>
      </w:pPr>
      <w:r>
        <w:rPr>
          <w:b/>
        </w:rPr>
        <w:t xml:space="preserve">3. </w:t>
      </w:r>
      <w:r>
        <w:t>Phase 3 — onboarding: role selector and the three onboarding wizards with success/pending states.</w:t>
      </w:r>
    </w:p>
    <w:p>
      <w:pPr>
        <w:ind w:left="173" w:hanging="173"/>
      </w:pPr>
      <w:r>
        <w:rPr>
          <w:b/>
        </w:rPr>
        <w:t xml:space="preserve">4. </w:t>
      </w:r>
      <w:r>
        <w:t>Phase 4 — sponsor core flows: dashboard, programmes, search &amp; match, vendor profile, compare, shortlist.</w:t>
      </w:r>
    </w:p>
    <w:p>
      <w:pPr>
        <w:ind w:left="173" w:hanging="173"/>
      </w:pPr>
      <w:r>
        <w:rPr>
          <w:b/>
        </w:rPr>
        <w:t xml:space="preserve">5. </w:t>
      </w:r>
      <w:r>
        <w:t>Phase 5 — RFP workflow: RFP wizard, inbox/review states, proposal comparison, award.</w:t>
      </w:r>
    </w:p>
    <w:p>
      <w:pPr>
        <w:ind w:left="173" w:hanging="173"/>
      </w:pPr>
      <w:r>
        <w:rPr>
          <w:b/>
        </w:rPr>
        <w:t xml:space="preserve">6. </w:t>
      </w:r>
      <w:r>
        <w:t>Phase 6 — project workspace: project overview, milestones, documents, issues, payments, disputes.</w:t>
      </w:r>
    </w:p>
    <w:p>
      <w:pPr>
        <w:ind w:left="173" w:hanging="173"/>
      </w:pPr>
      <w:r>
        <w:rPr>
          <w:b/>
        </w:rPr>
        <w:t xml:space="preserve">7. </w:t>
      </w:r>
      <w:r>
        <w:t>Phase 7 — vendor applications: CDMO and CRO dashboards, profile areas, RFP inbox, proposal builder, projects.</w:t>
      </w:r>
    </w:p>
    <w:p>
      <w:pPr>
        <w:ind w:left="173" w:hanging="173"/>
      </w:pPr>
      <w:r>
        <w:rPr>
          <w:b/>
        </w:rPr>
        <w:t xml:space="preserve">8. </w:t>
      </w:r>
      <w:r>
        <w:t>Phase 8 — internal operations: admin/compliance console and intelligence QA.</w:t>
      </w:r>
    </w:p>
    <w:p>
      <w:pPr>
        <w:ind w:left="173" w:hanging="173"/>
      </w:pPr>
      <w:r>
        <w:rPr>
          <w:b/>
        </w:rPr>
        <w:t xml:space="preserve">9. </w:t>
      </w:r>
      <w:r>
        <w:t>Phase 9 — polish: micro-interactions, responsive tuning, content cleanup, empty states, and route consistency.</w:t>
      </w:r>
    </w:p>
    <w:p>
      <w:pPr>
        <w:pStyle w:val="SectionPB"/>
      </w:pPr>
      <w:r>
        <w:t>19. Out of Scope for Prototype v1</w:t>
      </w:r>
    </w:p>
    <w:p>
      <w:pPr>
        <w:ind w:left="259" w:hanging="173"/>
      </w:pPr>
      <w:r>
        <w:rPr>
          <w:b/>
        </w:rPr>
        <w:t xml:space="preserve">• </w:t>
      </w:r>
      <w:r>
        <w:t>Live third-party integrations</w:t>
      </w:r>
    </w:p>
    <w:p>
      <w:pPr>
        <w:ind w:left="259" w:hanging="173"/>
      </w:pPr>
      <w:r>
        <w:rPr>
          <w:b/>
        </w:rPr>
        <w:t xml:space="preserve">• </w:t>
      </w:r>
      <w:r>
        <w:t>Actual payment processing</w:t>
      </w:r>
    </w:p>
    <w:p>
      <w:pPr>
        <w:ind w:left="259" w:hanging="173"/>
      </w:pPr>
      <w:r>
        <w:rPr>
          <w:b/>
        </w:rPr>
        <w:t xml:space="preserve">• </w:t>
      </w:r>
      <w:r>
        <w:t>Real authentication and role permission backend</w:t>
      </w:r>
    </w:p>
    <w:p>
      <w:pPr>
        <w:ind w:left="259" w:hanging="173"/>
      </w:pPr>
      <w:r>
        <w:rPr>
          <w:b/>
        </w:rPr>
        <w:t xml:space="preserve">• </w:t>
      </w:r>
      <w:r>
        <w:t>True blockchain contract layer</w:t>
      </w:r>
    </w:p>
    <w:p>
      <w:pPr>
        <w:ind w:left="259" w:hanging="173"/>
      </w:pPr>
      <w:r>
        <w:rPr>
          <w:b/>
        </w:rPr>
        <w:t xml:space="preserve">• </w:t>
      </w:r>
      <w:r>
        <w:t>Deep report generation or export logic</w:t>
      </w:r>
    </w:p>
    <w:p>
      <w:pPr>
        <w:ind w:left="259" w:hanging="173"/>
      </w:pPr>
      <w:r>
        <w:rPr>
          <w:b/>
        </w:rPr>
        <w:t xml:space="preserve">• </w:t>
      </w:r>
      <w:r>
        <w:t>Every possible modality deep screen if time is limited</w:t>
      </w:r>
    </w:p>
    <w:p>
      <w:pPr>
        <w:ind w:left="259" w:hanging="173"/>
      </w:pPr>
      <w:r>
        <w:rPr>
          <w:b/>
        </w:rPr>
        <w:t xml:space="preserve">• </w:t>
      </w:r>
      <w:r>
        <w:t>Separate internal tools for each ops role</w:t>
      </w:r>
    </w:p>
    <w:p>
      <w:pPr>
        <w:ind w:left="259" w:hanging="173"/>
      </w:pPr>
      <w:r>
        <w:rPr>
          <w:b/>
        </w:rPr>
        <w:t xml:space="preserve">• </w:t>
      </w:r>
      <w:r>
        <w:t>Complete CRM / analytics plumbing</w:t>
      </w:r>
    </w:p>
    <w:p>
      <w:pPr>
        <w:pStyle w:val="SectionPB"/>
      </w:pPr>
      <w:r>
        <w:t>20. Definition of Done for Prototype</w:t>
      </w:r>
    </w:p>
    <w:p>
      <w:pPr>
        <w:ind w:left="259" w:hanging="173"/>
      </w:pPr>
      <w:r>
        <w:rPr>
          <w:b/>
        </w:rPr>
        <w:t xml:space="preserve">• </w:t>
      </w:r>
      <w:r>
        <w:t>All primary routes exist and are navigable.</w:t>
      </w:r>
    </w:p>
    <w:p>
      <w:pPr>
        <w:ind w:left="259" w:hanging="173"/>
      </w:pPr>
      <w:r>
        <w:rPr>
          <w:b/>
        </w:rPr>
        <w:t xml:space="preserve">• </w:t>
      </w:r>
      <w:r>
        <w:t>Each role has a coherent dashboard and at least one end-to-end happy path.</w:t>
      </w:r>
    </w:p>
    <w:p>
      <w:pPr>
        <w:ind w:left="259" w:hanging="173"/>
      </w:pPr>
      <w:r>
        <w:rPr>
          <w:b/>
        </w:rPr>
        <w:t xml:space="preserve">• </w:t>
      </w:r>
      <w:r>
        <w:t>Search/match, RFP, workspace, and admin areas feel complete enough for a demo.</w:t>
      </w:r>
    </w:p>
    <w:p>
      <w:pPr>
        <w:ind w:left="259" w:hanging="173"/>
      </w:pPr>
      <w:r>
        <w:rPr>
          <w:b/>
        </w:rPr>
        <w:t xml:space="preserve">• </w:t>
      </w:r>
      <w:r>
        <w:t>The entire UI feels like one product, not disconnected pages.</w:t>
      </w:r>
    </w:p>
    <w:p>
      <w:pPr>
        <w:ind w:left="259" w:hanging="173"/>
      </w:pPr>
      <w:r>
        <w:rPr>
          <w:b/>
        </w:rPr>
        <w:t xml:space="preserve">• </w:t>
      </w:r>
      <w:r>
        <w:t>Mock data is realistic and consistent across screens.</w:t>
      </w:r>
    </w:p>
    <w:p>
      <w:pPr>
        <w:ind w:left="259" w:hanging="173"/>
      </w:pPr>
      <w:r>
        <w:rPr>
          <w:b/>
        </w:rPr>
        <w:t xml:space="preserve">• </w:t>
      </w:r>
      <w:r>
        <w:t>Responsive layout works for major breakpoints.</w:t>
      </w:r>
    </w:p>
    <w:p>
      <w:pPr>
        <w:ind w:left="259" w:hanging="173"/>
      </w:pPr>
      <w:r>
        <w:rPr>
          <w:b/>
        </w:rPr>
        <w:t xml:space="preserve">• </w:t>
      </w:r>
      <w:r>
        <w:t>Loading, empty, success, pending, and flagged states are implemented.</w:t>
      </w:r>
    </w:p>
    <w:p>
      <w:pPr>
        <w:ind w:left="259" w:hanging="173"/>
      </w:pPr>
      <w:r>
        <w:rPr>
          <w:b/>
        </w:rPr>
        <w:t xml:space="preserve">• </w:t>
      </w:r>
      <w:r>
        <w:t>No unfinished placeholder text is visible in demo-critical screens.</w:t>
      </w:r>
    </w:p>
    <w:p>
      <w:pPr>
        <w:pStyle w:val="SectionPB"/>
      </w:pPr>
      <w:r>
        <w:t>21. Codex Implementation Notes</w:t>
      </w:r>
    </w:p>
    <w:p>
      <w:pPr>
        <w:ind w:left="259" w:hanging="173"/>
      </w:pPr>
      <w:r>
        <w:rPr>
          <w:b/>
        </w:rPr>
        <w:t xml:space="preserve">• </w:t>
      </w:r>
      <w:r>
        <w:t>Use Next.js App Router structure with role-separated route groups.</w:t>
      </w:r>
    </w:p>
    <w:p>
      <w:pPr>
        <w:ind w:left="259" w:hanging="173"/>
      </w:pPr>
      <w:r>
        <w:rPr>
          <w:b/>
        </w:rPr>
        <w:t xml:space="preserve">• </w:t>
      </w:r>
      <w:r>
        <w:t>Use a single theme/token source and shared component primitives.</w:t>
      </w:r>
    </w:p>
    <w:p>
      <w:pPr>
        <w:ind w:left="259" w:hanging="173"/>
      </w:pPr>
      <w:r>
        <w:rPr>
          <w:b/>
        </w:rPr>
        <w:t xml:space="preserve">• </w:t>
      </w:r>
      <w:r>
        <w:t>Prefer reusable data configuration for modules like stat cards, filters, alerts, and tables.</w:t>
      </w:r>
    </w:p>
    <w:p>
      <w:pPr>
        <w:ind w:left="259" w:hanging="173"/>
      </w:pPr>
      <w:r>
        <w:rPr>
          <w:b/>
        </w:rPr>
        <w:t xml:space="preserve">• </w:t>
      </w:r>
      <w:r>
        <w:t>Keep all major flows demoable without backend dependency by using typed mock data, seeded fixtures, and local state.</w:t>
      </w:r>
    </w:p>
    <w:p>
      <w:pPr>
        <w:ind w:left="259" w:hanging="173"/>
      </w:pPr>
      <w:r>
        <w:rPr>
          <w:b/>
        </w:rPr>
        <w:t xml:space="preserve">• </w:t>
      </w:r>
      <w:r>
        <w:t>Organize implementation so a stakeholder can review role by role or flow by flow.</w:t>
      </w:r>
    </w:p>
    <w:p>
      <w:pPr>
        <w:pStyle w:val="SectionPB"/>
      </w:pPr>
      <w:r>
        <w:t>22. Suggested Directory Structure</w:t>
      </w:r>
    </w:p>
    <w:p>
      <w:pPr>
        <w:pStyle w:val="MonoPB"/>
      </w:pPr>
      <w:r>
        <w:t>app/</w:t>
        <w:br/>
        <w:t xml:space="preserve">  (marketing)/</w:t>
        <w:br/>
        <w:t xml:space="preserve">  (auth)/</w:t>
        <w:br/>
        <w:t xml:space="preserve">  onboarding/</w:t>
        <w:br/>
        <w:t xml:space="preserve">  app/</w:t>
        <w:br/>
        <w:t xml:space="preserve">    sponsor/</w:t>
        <w:br/>
        <w:t xml:space="preserve">    cdmo/</w:t>
        <w:br/>
        <w:t xml:space="preserve">    cro/</w:t>
        <w:br/>
        <w:t xml:space="preserve">    admin/</w:t>
        <w:br/>
        <w:t>components/</w:t>
        <w:br/>
        <w:t xml:space="preserve">  layout/</w:t>
        <w:br/>
        <w:t xml:space="preserve">  navigation/</w:t>
        <w:br/>
        <w:t xml:space="preserve">  cards/</w:t>
        <w:br/>
        <w:t xml:space="preserve">  data-display/</w:t>
        <w:br/>
        <w:t xml:space="preserve">  forms/</w:t>
        <w:br/>
        <w:t xml:space="preserve">  tables/</w:t>
        <w:br/>
        <w:t xml:space="preserve">  flows/</w:t>
        <w:br/>
        <w:t xml:space="preserve">  modals/</w:t>
        <w:br/>
        <w:t>lib/</w:t>
        <w:br/>
        <w:t xml:space="preserve">  mock-data/</w:t>
        <w:br/>
        <w:t xml:space="preserve">  constants/</w:t>
        <w:br/>
        <w:t xml:space="preserve">  types/</w:t>
        <w:br/>
        <w:t xml:space="preserve">  helpers/</w:t>
        <w:br/>
        <w:t>styles/</w:t>
        <w:br/>
      </w:r>
    </w:p>
    <w:p>
      <w:pPr>
        <w:pStyle w:val="SectionPB"/>
      </w:pPr>
      <w:r>
        <w:t>23. Final Build Brief for Codex</w:t>
      </w:r>
    </w:p>
    <w:tbl>
      <w:tblPr>
        <w:tblW w:type="auto" w:w="0"/>
        <w:jc w:val="center"/>
        <w:tblLook w:firstColumn="1" w:firstRow="1" w:lastColumn="0" w:lastRow="0" w:noHBand="0" w:noVBand="1" w:val="04A0"/>
      </w:tblPr>
      <w:tblGrid>
        <w:gridCol w:w="9936"/>
      </w:tblGrid>
      <w:tr>
        <w:tc>
          <w:tcPr>
            <w:tcW w:type="dxa" w:w="9936"/>
            <w:shd w:fill="EEF7F6"/>
            <w:tcMar>
              <w:top w:w="120" w:type="dxa"/>
              <w:start w:w="160" w:type="dxa"/>
              <w:bottom w:w="120" w:type="dxa"/>
              <w:end w:w="160" w:type="dxa"/>
            </w:tcMar>
          </w:tcPr>
          <w:p>
            <w:pPr>
              <w:pStyle w:val="CalloutPB"/>
            </w:pPr>
            <w:r>
              <w:rPr>
                <w:b/>
                <w:color w:val="085050"/>
              </w:rPr>
              <w:t xml:space="preserve">Use this exact brief. </w:t>
            </w:r>
            <w:r>
              <w:t>Build a high-fidelity Next.js frontend prototype for PharmaBridge with four layers: public website, onboarding, authenticated role-based applications, and admin/compliance console. Support Sponsor, CDMO, CRO, and Admin roles. Include polished public landing pages, role-specific onboarding flows, Sponsor search/match and RFP workflows, vendor self-service dashboards, project workspace with milestone/payment/dispute states, intelligence dashboards, and operational review queues. Use a premium dark intelligence-platform visual language with editorial typography, high information density, strong hierarchy, realistic mock data, and responsive layouts. The prototype must be navigable end to end without a backend and should prioritize reusable components, route clarity, and demo readiness.</w:t>
            </w:r>
          </w:p>
        </w:tc>
      </w:tr>
    </w:tbl>
    <w:p/>
    <w:p>
      <w:pPr>
        <w:pStyle w:val="SectionPB"/>
      </w:pPr>
      <w:r>
        <w:t>24. Source Basis Used for This Plan</w:t>
      </w:r>
    </w:p>
    <w:p>
      <w:pPr>
        <w:ind w:left="259" w:hanging="173"/>
      </w:pPr>
      <w:r>
        <w:rPr>
          <w:b/>
        </w:rPr>
        <w:t xml:space="preserve">• </w:t>
      </w:r>
      <w:r>
        <w:t>Business workflows document: platform overview, onboarding, matching, RFP, project workspace, intelligence, admin/compliance, and integrations.</w:t>
      </w:r>
    </w:p>
    <w:p>
      <w:pPr>
        <w:ind w:left="259" w:hanging="173"/>
      </w:pPr>
      <w:r>
        <w:rPr>
          <w:b/>
        </w:rPr>
        <w:t xml:space="preserve">• </w:t>
      </w:r>
      <w:r>
        <w:t>Website reference: public marketing IA, pricing, product positioning, and visual language.</w:t>
      </w:r>
    </w:p>
    <w:p>
      <w:pPr>
        <w:ind w:left="259" w:hanging="173"/>
      </w:pPr>
      <w:r>
        <w:rPr>
          <w:b/>
        </w:rPr>
        <w:t xml:space="preserve">• </w:t>
      </w:r>
      <w:r>
        <w:t>Onboarding reference: role selector, wizard tone, progress headers, field groupings, and success states.</w:t>
      </w:r>
    </w:p>
    <w:p>
      <w:pPr>
        <w:ind w:left="259" w:hanging="173"/>
      </w:pPr>
      <w:r>
        <w:rPr>
          <w:b/>
        </w:rPr>
        <w:t xml:space="preserve">• </w:t>
      </w:r>
      <w:r>
        <w:t>CRO service screens: service taxonomy and role-specific product framing.</w:t>
      </w:r>
    </w:p>
    <w:p>
      <w:pPr>
        <w:ind w:left="259" w:hanging="173"/>
      </w:pPr>
      <w:r>
        <w:rPr>
          <w:b/>
        </w:rPr>
        <w:t xml:space="preserve">• </w:t>
      </w:r>
      <w:r>
        <w:t>Capability and intelligence screens: modality pages, comparison patterns, capacity signals, waitlists, and information density cues.</w:t>
      </w:r>
    </w:p>
    <w:p>
      <w:pPr>
        <w:ind w:left="259" w:hanging="173"/>
      </w:pPr>
      <w:r>
        <w:rPr>
          <w:b/>
        </w:rPr>
        <w:t xml:space="preserve">• </w:t>
      </w:r>
      <w:r>
        <w:t>Due diligence screens: risk framing, red-flag logic, and sponsor-side evaluation posture.</w:t>
      </w:r>
    </w:p>
    <w:p/>
    <w:p>
      <w:pPr>
        <w:pStyle w:val="BodySmall"/>
        <w:jc w:val="center"/>
      </w:pPr>
      <w:r>
        <w:t>End of document</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PB">
    <w:name w:val="TitlePB"/>
    <w:basedOn w:val="Normal"/>
    <w:pPr>
      <w:spacing w:after="120"/>
    </w:pPr>
    <w:rPr>
      <w:rFonts w:ascii="Aptos Display" w:hAnsi="Aptos Display"/>
      <w:b/>
      <w:color w:val="085050"/>
      <w:sz w:val="48"/>
    </w:rPr>
  </w:style>
  <w:style w:type="paragraph" w:customStyle="1" w:styleId="SubtitlePB">
    <w:name w:val="SubtitlePB"/>
    <w:basedOn w:val="Normal"/>
    <w:pPr>
      <w:spacing w:after="240"/>
    </w:pPr>
    <w:rPr>
      <w:rFonts w:ascii="Aptos" w:hAnsi="Aptos"/>
      <w:i/>
      <w:color w:val="5A6978"/>
      <w:sz w:val="22"/>
    </w:rPr>
  </w:style>
  <w:style w:type="paragraph" w:customStyle="1" w:styleId="SectionPB">
    <w:name w:val="SectionPB"/>
    <w:basedOn w:val="Normal"/>
    <w:pPr>
      <w:keepNext/>
      <w:spacing w:before="240" w:after="120"/>
    </w:pPr>
    <w:rPr>
      <w:rFonts w:ascii="Aptos Display" w:hAnsi="Aptos Display"/>
      <w:b/>
      <w:color w:val="085050"/>
      <w:sz w:val="30"/>
    </w:rPr>
  </w:style>
  <w:style w:type="paragraph" w:customStyle="1" w:styleId="SubsectionPB">
    <w:name w:val="SubsectionPB"/>
    <w:basedOn w:val="Normal"/>
    <w:pPr>
      <w:keepNext/>
      <w:spacing w:before="160" w:after="60"/>
    </w:pPr>
    <w:rPr>
      <w:rFonts w:ascii="Aptos" w:hAnsi="Aptos"/>
      <w:b/>
      <w:color w:val="1E3246"/>
      <w:sz w:val="23"/>
    </w:rPr>
  </w:style>
  <w:style w:type="paragraph" w:customStyle="1" w:styleId="BodySmall">
    <w:name w:val="BodySmall"/>
    <w:basedOn w:val="Normal"/>
    <w:rPr>
      <w:color w:val="5F5F5F"/>
      <w:sz w:val="18"/>
    </w:rPr>
  </w:style>
  <w:style w:type="paragraph" w:customStyle="1" w:styleId="CalloutPB">
    <w:name w:val="CalloutPB"/>
    <w:basedOn w:val="Normal"/>
    <w:pPr>
      <w:spacing w:before="80" w:after="80"/>
      <w:ind w:left="144" w:right="144"/>
    </w:pPr>
    <w:rPr>
      <w:color w:val="192832"/>
      <w:sz w:val="20"/>
    </w:rPr>
  </w:style>
  <w:style w:type="paragraph" w:customStyle="1" w:styleId="TableText">
    <w:name w:val="TableText"/>
    <w:basedOn w:val="Normal"/>
    <w:rPr>
      <w:rFonts w:ascii="Aptos" w:hAnsi="Aptos"/>
      <w:sz w:val="18"/>
    </w:rPr>
  </w:style>
  <w:style w:type="paragraph" w:customStyle="1" w:styleId="MonoPB">
    <w:name w:val="MonoPB"/>
    <w:basedOn w:val="Normal"/>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