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Лабораторная работа №4.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30"/>
          <w:szCs w:val="30"/>
          <w:rtl w:val="off"/>
        </w:rPr>
        <w:t>Описание предметной области:</w:t>
      </w:r>
    </w:p>
    <w:p>
      <w:pPr>
        <w:ind w:leftChars="0" w:left="0" w:rightChars="0" w:right="0" w:hanging="0" w:firstLineChars="130" w:firstLine="328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База данных хранит информацию о популярных колодах в карточной игре Hearthstone. В ней игроки создают колоды из 30 имеющихся у них в коллекции карт, принадлежащие любому из 10 представленных в игре классов (что значит, что в колоду нельзя положить карты другого класса). Большинство игроков для игры собирают колоды, созданные известными игроками (стримерами и киберспортсменами) и выложенные на созданные сообществом сайты.</w:t>
      </w:r>
    </w:p>
    <w:p>
      <w:pPr>
        <w:ind w:leftChars="0" w:left="0" w:rightChars="0" w:right="0" w:hanging="0" w:firstLineChars="130" w:firstLine="328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В эту базу данных заносится информация о стоимости колод и ее эффективности, что помогает сравнить эти параметры и выбрать, какую стоит создать.</w:t>
      </w:r>
    </w:p>
    <w:p>
      <w:pPr>
        <w:ind w:leftChars="0" w:left="0" w:rightChars="0" w:right="0" w:hanging="0" w:firstLineChars="130" w:firstLine="328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</w:rPr>
        <w:drawing>
          <wp:inline distT="0" distB="0" distL="180" distR="180">
            <wp:extent cx="5838825" cy="30480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0" w:firstLine="0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30"/>
          <w:szCs w:val="30"/>
          <w:rtl w:val="off"/>
        </w:rPr>
        <w:t>Поля таблицы decks: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  <w:t>id - id колоды, ключевое поле;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name - название колоды, по этому полю создан индекс;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author - никнейм игрока, создавшего колоду;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class_id - внешний ключ, ссылающийся на id игрового класса из таблицы classes;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dust_cost - стоимость колоды (количество внутриигрового ресурса (“пыли”), которую нужно потратить для того, чтобы создать все нужные для колоды карты с нуля);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games_played - общее количество сыгранных на этой колоде партий в рейтинговом режиме;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games_won - количество выигранных партий;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winrate - заполняющееся триггером поле, доля выигранных на этой колоде партий.</w:t>
      </w:r>
    </w:p>
    <w:p>
      <w:pPr>
        <w:ind w:leftChars="0" w:left="0" w:rightChars="0" w:right="0" w:hanging="0" w:firstLineChars="0" w:firstLine="0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30"/>
          <w:szCs w:val="30"/>
          <w:rtl w:val="off"/>
        </w:rPr>
        <w:t>Поля таблицы classes: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  <w:t>id - id класса, ключевое поле;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name - название класса;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games_played - поле, которое заполняется и изменяется триггером, количество партий, сыгранных на всех колодах класса;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winrate - ещу одно поле, за которое отвечает триггер, высчитывающий среднюю долю побед на всех колодах класса.</w:t>
      </w:r>
    </w:p>
    <w:p>
      <w:pPr>
        <w:ind w:leftChars="0" w:left="0" w:rightChars="0" w:right="0" w:hanging="0" w:firstLineChars="0" w:firstLine="0"/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30"/>
          <w:szCs w:val="30"/>
          <w:rtl w:val="off"/>
        </w:rPr>
      </w:pPr>
      <w:r>
        <w:rPr>
          <w:rFonts w:ascii="Times New Roman" w:eastAsia="Times New Roman" w:hAnsi="Times New Roman"/>
          <w:b w:val="0"/>
          <w:bCs w:val="0"/>
          <w:sz w:val="30"/>
          <w:szCs w:val="30"/>
          <w:rtl w:val="off"/>
        </w:rPr>
        <w:t>Нормальные формы базы данных.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База данных находится в первой нормальной форме, так как:</w:t>
      </w:r>
    </w:p>
    <w:p>
      <w:pPr>
        <w:pStyle w:val="af3"/>
        <w:ind w:leftChars="0"/>
        <w:numPr>
          <w:ilvl w:val="0"/>
          <w:numId w:val="4"/>
        </w:numP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значения в каждой ячейке атомарны;</w:t>
      </w:r>
    </w:p>
    <w:p>
      <w:pPr>
        <w:pStyle w:val="af3"/>
        <w:ind w:leftChars="0"/>
        <w:numPr>
          <w:ilvl w:val="0"/>
          <w:numId w:val="4"/>
        </w:numP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каждая строка уникальна за счет существования в обеих таблицах первичного ключа id;</w:t>
      </w:r>
    </w:p>
    <w:p>
      <w:pPr>
        <w:pStyle w:val="af3"/>
        <w:ind w:leftChars="0"/>
        <w:numPr>
          <w:ilvl w:val="0"/>
          <w:numId w:val="4"/>
        </w:numP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порядок размещения строк в таблицах не имеет значения.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База данных находится во второй нормальной форме (</w:t>
      </w:r>
      <w: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  <w:t>неключевые поля не зависят от части составного ключа</w:t>
      </w: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 xml:space="preserve">), так как </w:t>
      </w:r>
      <w: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  <w:t>оба первичных ключа таблиц простые.</w:t>
      </w:r>
    </w:p>
    <w:p>
      <w:pPr>
        <w:pStyle w:val="af3"/>
        <w:ind w:leftChars="0" w:left="0" w:rightChars="0" w:right="0" w:hanging="0" w:firstLineChars="130" w:firstLine="328"/>
        <w:jc w:val="left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hint="default"/>
          <w:b w:val="0"/>
          <w:bCs w:val="0"/>
          <w:sz w:val="26"/>
          <w:szCs w:val="26"/>
        </w:rPr>
      </w:pPr>
      <w:r>
        <w:rPr>
          <w:rFonts w:ascii="Times New Roman" w:eastAsia="Times New Roman" w:hAnsi="Times New Roman" w:hint="default"/>
          <w:b w:val="0"/>
          <w:bCs w:val="0"/>
          <w:sz w:val="26"/>
          <w:szCs w:val="26"/>
          <w:rtl w:val="off"/>
        </w:rPr>
        <w:t>База данных находится в третьей нормальной форме (неключевые поля не зависят от других неключевых полей) так как в</w:t>
      </w:r>
      <w:r>
        <w:rPr>
          <w:rFonts w:ascii="Times New Roman" w:eastAsia="Times New Roman" w:hAnsi="Times New Roman"/>
          <w:b w:val="0"/>
          <w:bCs w:val="0"/>
          <w:sz w:val="26"/>
          <w:szCs w:val="26"/>
          <w:rtl w:val="off"/>
        </w:rPr>
        <w:t xml:space="preserve"> обеих таблицах все неключевые поля, предназначенные для ручного заполнения/изменения, относятся к одной соответствующей ей строке со своим значением первичного ключа. Поля winrate в таблице decks и games_played и winrate в таблице classes являются информативными и за них полностью отвечают триггеры.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db3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1">
    <w:nsid w:val="ff9fff6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>
    <w:nsid w:val="feffff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3">
    <w:nsid w:val="fff7f720"/>
    <w:multiLevelType w:val="hybridMultilevel"/>
    <w:lvl w:ilvl="0" w:tplc="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Роман</cp:lastModifiedBy>
  <cp:revision>1</cp:revision>
  <dcterms:created xsi:type="dcterms:W3CDTF">2020-06-08T12:32:43Z</dcterms:created>
  <dcterms:modified xsi:type="dcterms:W3CDTF">2020-06-08T15:29:13Z</dcterms:modified>
  <cp:version>0900.0100.01</cp:version>
</cp:coreProperties>
</file>