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Calibri" w:cs="Calibri" w:eastAsia="Calibri" w:hAnsi="Calibri"/>
          <w:b/>
          <w:bCs/>
          <w:i w:val="false"/>
          <w:iCs w:val="false"/>
          <w:color w:val="B08D3E"/>
          <w:sz w:val="20"/>
          <w:szCs w:val="20"/>
        </w:rPr>
        <w:t xml:space="preserve">CITIZEN GARDENS</w:t>
      </w:r>
    </w:p>
    <w:p>
      <w:pPr>
        <w:spacing w:after="80" w:before="0" w:line="276"/>
        <w:jc w:val="center"/>
      </w:pPr>
      <w:r>
        <w:rPr>
          <w:rFonts w:ascii="Calibri" w:cs="Calibri" w:eastAsia="Calibri" w:hAnsi="Calibri"/>
          <w:b/>
          <w:bCs/>
          <w:i w:val="false"/>
          <w:iCs w:val="false"/>
          <w:color w:val="0D5C63"/>
          <w:sz w:val="36"/>
          <w:szCs w:val="36"/>
        </w:rPr>
        <w:t xml:space="preserve">Decentralized Unincorporated Nonprofit Association</w:t>
      </w:r>
    </w:p>
    <w:p>
      <w:pPr>
        <w:spacing w:after="120" w:before="0" w:line="276"/>
        <w:jc w:val="center"/>
      </w:pPr>
      <w:r>
        <w:rPr>
          <w:rFonts w:ascii="Calibri" w:cs="Calibri" w:eastAsia="Calibri" w:hAnsi="Calibri"/>
          <w:b/>
          <w:bCs/>
          <w:i w:val="false"/>
          <w:iCs w:val="false"/>
          <w:color w:val="1C1C1C"/>
          <w:sz w:val="40"/>
          <w:szCs w:val="40"/>
        </w:rPr>
        <w:t xml:space="preserve">Governing Principles</w:t>
      </w:r>
    </w:p>
    <w:p>
      <w:pPr>
        <w:spacing w:after="200" w:before="0" w:line="276"/>
        <w:jc w:val="center"/>
      </w:pPr>
      <w:r>
        <w:rPr>
          <w:rFonts w:ascii="Calibri" w:cs="Calibri" w:eastAsia="Calibri" w:hAnsi="Calibri"/>
          <w:b w:val="false"/>
          <w:bCs w:val="false"/>
          <w:i/>
          <w:iCs/>
          <w:color w:val="5A5A5A"/>
          <w:sz w:val="22"/>
          <w:szCs w:val="22"/>
        </w:rPr>
        <w:t xml:space="preserve">Phase Mirror  ·  Bushidō  ·  Buurtzorg  ·  Multiplicity Social Physics</w:t>
      </w:r>
    </w:p>
    <w:p>
      <w:pPr>
        <w:spacing w:after="80" w:before="0" w:line="276"/>
        <w:jc w:val="center"/>
      </w:pPr>
      <w:r>
        <w:rPr>
          <w:rFonts w:ascii="Calibri" w:cs="Calibri" w:eastAsia="Calibri" w:hAnsi="Calibri"/>
          <w:b w:val="false"/>
          <w:bCs w:val="false"/>
          <w:i w:val="false"/>
          <w:iCs w:val="false"/>
          <w:color w:val="5A5A5A"/>
          <w:sz w:val="18"/>
          <w:szCs w:val="18"/>
        </w:rPr>
        <w:t xml:space="preserve">Version 1.0  ·  Status: Proposed for member adoption  ·  LawfulRecursionVersion 1.0</w:t>
      </w:r>
    </w:p>
    <w:p>
      <w:pPr>
        <w:spacing w:after="280" w:before="0" w:line="276"/>
        <w:jc w:val="center"/>
      </w:pPr>
      <w:r>
        <w:rPr>
          <w:rFonts w:ascii="Calibri" w:cs="Calibri" w:eastAsia="Calibri" w:hAnsi="Calibri"/>
          <w:b w:val="false"/>
          <w:bCs w:val="false"/>
          <w:i w:val="false"/>
          <w:iCs w:val="false"/>
          <w:color w:val="5A5A5A"/>
          <w:sz w:val="18"/>
          <w:szCs w:val="18"/>
        </w:rPr>
        <w:t xml:space="preserve">Wyoming DUNA under W.S. Title 17, Chapter 32  ·  Literary charity  ·  Social investment credit union mission</w:t>
      </w:r>
    </w:p>
    <w:p>
      <w:pPr>
        <w:spacing w:after="200" w:before="0" w:line="276"/>
        <w:jc w:val="left"/>
      </w:pPr>
      <w:r>
        <w:rPr>
          <w:rFonts w:ascii="Calibri" w:cs="Calibri" w:eastAsia="Calibri" w:hAnsi="Calibri"/>
          <w:b w:val="false"/>
          <w:bCs w:val="false"/>
          <w:i w:val="false"/>
          <w:iCs w:val="false"/>
          <w:color w:val="1C1C1C"/>
          <w:sz w:val="22"/>
          <w:szCs w:val="22"/>
        </w:rPr>
        <w:t xml:space="preserve">This instrument is the governing principles of Citizen Gardens. Under the Wyoming Decentralized Unincorporated Nonprofit Association Act, these principles—not articles of organization filed for a fee—are the source of membership, treasury, and consensus. Phase Mirror is how decisions bind. Bushidō is how members hold themselves. Buurtzorg is how work scales without a middle. Multiplicity Social Physics is how reciprocity is counted as real social energy.</w:t>
      </w:r>
    </w:p>
    <w:p>
      <w:pPr>
        <w:pStyle w:val="Heading1"/>
        <w:pBdr>
          <w:bottom w:val="single" w:color="0D5C63" w:sz="12" w:space="4"/>
        </w:pBdr>
        <w:spacing w:after="160" w:before="360"/>
      </w:pPr>
      <w:r>
        <w:rPr>
          <w:rFonts w:ascii="Calibri" w:cs="Calibri" w:eastAsia="Calibri" w:hAnsi="Calibri"/>
          <w:b/>
          <w:bCs/>
          <w:color w:val="0D5C63"/>
          <w:sz w:val="32"/>
          <w:szCs w:val="32"/>
        </w:rPr>
        <w:t xml:space="preserve">0. Stance</w:t>
      </w:r>
    </w:p>
    <w:p>
      <w:pPr>
        <w:spacing w:after="160" w:before="0" w:line="276"/>
        <w:jc w:val="left"/>
      </w:pPr>
      <w:r>
        <w:rPr>
          <w:rFonts w:ascii="Calibri" w:cs="Calibri" w:eastAsia="Calibri" w:hAnsi="Calibri"/>
          <w:b w:val="false"/>
          <w:bCs w:val="false"/>
          <w:i w:val="false"/>
          <w:iCs w:val="false"/>
          <w:color w:val="1C1C1C"/>
          <w:sz w:val="22"/>
          <w:szCs w:val="22"/>
        </w:rPr>
        <w:t xml:space="preserve">Citizen Gardens does not flatten people into data points. It counts every act of reciprocity. In Social Physics, mutual giving and receiving doubles the value of an interaction. Invisible labor becomes sovereign infrastructure.</w:t>
      </w:r>
    </w:p>
    <w:p>
      <w:pPr>
        <w:spacing w:after="160" w:before="0" w:line="276"/>
        <w:jc w:val="left"/>
      </w:pPr>
      <w:r>
        <w:rPr>
          <w:rFonts w:ascii="Calibri" w:cs="Calibri" w:eastAsia="Calibri" w:hAnsi="Calibri"/>
          <w:b w:val="false"/>
          <w:bCs w:val="false"/>
          <w:i w:val="false"/>
          <w:iCs w:val="false"/>
          <w:color w:val="1C1C1C"/>
          <w:sz w:val="22"/>
          <w:szCs w:val="22"/>
        </w:rPr>
        <w:t xml:space="preserve">The association exists to prototype a multiplicative society: civic infrastructure that supports human dignity, environmental stewardship, and social coherence. No one wins alone.</w:t>
      </w:r>
    </w:p>
    <w:p>
      <w:pPr>
        <w:spacing w:after="160" w:before="0" w:line="276"/>
        <w:jc w:val="left"/>
      </w:pPr>
      <w:r>
        <w:rPr>
          <w:rFonts w:ascii="Calibri" w:cs="Calibri" w:eastAsia="Calibri" w:hAnsi="Calibri"/>
          <w:b w:val="false"/>
          <w:bCs w:val="false"/>
          <w:i w:val="false"/>
          <w:iCs w:val="false"/>
          <w:color w:val="1C1C1C"/>
          <w:sz w:val="22"/>
          <w:szCs w:val="22"/>
        </w:rPr>
        <w:t xml:space="preserve">The Phase Mirror does not resolve dissonance. It names it. These principles convert named tensions into artifacts with owners, metrics, and horizons.</w:t>
      </w:r>
    </w:p>
    <w:p>
      <w:pPr>
        <w:pStyle w:val="Heading1"/>
        <w:pBdr>
          <w:bottom w:val="single" w:color="0D5C63" w:sz="12" w:space="4"/>
        </w:pBdr>
        <w:spacing w:after="160" w:before="360"/>
      </w:pPr>
      <w:r>
        <w:rPr>
          <w:rFonts w:ascii="Calibri" w:cs="Calibri" w:eastAsia="Calibri" w:hAnsi="Calibri"/>
          <w:b/>
          <w:bCs/>
          <w:color w:val="0D5C63"/>
          <w:sz w:val="32"/>
          <w:szCs w:val="32"/>
        </w:rPr>
        <w:t xml:space="preserve">1. Legal form</w:t>
      </w:r>
    </w:p>
    <w:p>
      <w:pPr>
        <w:pStyle w:val="Heading2"/>
        <w:spacing w:after="120" w:before="280"/>
      </w:pPr>
      <w:r>
        <w:rPr>
          <w:rFonts w:ascii="Calibri" w:cs="Calibri" w:eastAsia="Calibri" w:hAnsi="Calibri"/>
          <w:b/>
          <w:bCs/>
          <w:color w:val="0D5C63"/>
          <w:sz w:val="26"/>
          <w:szCs w:val="26"/>
        </w:rPr>
        <w:t xml:space="preserve">1.1 Choice of wrapper</w:t>
      </w:r>
    </w:p>
    <w:p>
      <w:pPr>
        <w:spacing w:after="160" w:before="0" w:line="276"/>
        <w:jc w:val="left"/>
      </w:pPr>
      <w:r>
        <w:rPr>
          <w:rFonts w:ascii="Calibri" w:cs="Calibri" w:eastAsia="Calibri" w:hAnsi="Calibri"/>
          <w:b w:val="false"/>
          <w:bCs w:val="false"/>
          <w:i w:val="false"/>
          <w:iCs w:val="false"/>
          <w:color w:val="1C1C1C"/>
          <w:sz w:val="22"/>
          <w:szCs w:val="22"/>
        </w:rPr>
        <w:t xml:space="preserve">Citizen Gardens is organized as a Wyoming Decentralized Unincorporated Nonprofit Association (DUNA) under W.S. 17-32, building on the Unincorporated Nonprofit Association Act. A DUNA is not a DAO LLC. It does not require articles of organization or a Secretary of State creation fee in the LLC sense. It is a legal person for a nonprofit-purpose community that may govern, in whole or in part, through distributed ledger technology and consensus algorithms, provided those methods are reasonable and lawful.</w:t>
      </w:r>
    </w:p>
    <w:p>
      <w:pPr>
        <w:pStyle w:val="Heading2"/>
        <w:spacing w:after="120" w:before="280"/>
      </w:pPr>
      <w:r>
        <w:rPr>
          <w:rFonts w:ascii="Calibri" w:cs="Calibri" w:eastAsia="Calibri" w:hAnsi="Calibri"/>
          <w:b/>
          <w:bCs/>
          <w:color w:val="0D5C63"/>
          <w:sz w:val="26"/>
          <w:szCs w:val="26"/>
        </w:rPr>
        <w:t xml:space="preserve">1.2 Statutory floor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Rule</w:t>
            </w:r>
          </w:p>
        </w:tc>
        <w:tc>
          <w:tcPr>
            <w:tcW w:type="dxa" w:w="688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Binding consequence</w:t>
            </w:r>
          </w:p>
        </w:tc>
      </w:tr>
      <w:tr>
        <w:tc>
          <w:tcPr>
            <w:tcW w:type="dxa" w:w="3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Common nonprofit purpose</w:t>
            </w:r>
          </w:p>
        </w:tc>
        <w:tc>
          <w:tcPr>
            <w:tcW w:type="dxa" w:w="68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Sustaining the living definition of Multiplicity between people; literary charity; public-goods civic R&amp;D.</w:t>
            </w:r>
          </w:p>
        </w:tc>
      </w:tr>
      <w:tr>
        <w:tc>
          <w:tcPr>
            <w:tcW w:type="dxa" w:w="3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Membership scale</w:t>
            </w:r>
          </w:p>
        </w:tc>
        <w:tc>
          <w:tcPr>
            <w:tcW w:type="dxa" w:w="68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DUNA status is designed for ≥100 members joined by mutual consent. Below that floor the association continues as a Wyoming UNA, not a DUNA, until the floor is restored.</w:t>
            </w:r>
          </w:p>
        </w:tc>
      </w:tr>
      <w:tr>
        <w:tc>
          <w:tcPr>
            <w:tcW w:type="dxa" w:w="3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 profit distributions</w:t>
            </w:r>
          </w:p>
        </w:tc>
        <w:tc>
          <w:tcPr>
            <w:tcW w:type="dxa" w:w="68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W.S. 17-32-104. Surplus serves the purpose. Reasonable compensation, grants, and reimbursements are permitted. Dividends to members are not.</w:t>
            </w:r>
          </w:p>
        </w:tc>
      </w:tr>
      <w:tr>
        <w:tc>
          <w:tcPr>
            <w:tcW w:type="dxa" w:w="3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Separate legal person</w:t>
            </w:r>
          </w:p>
        </w:tc>
        <w:tc>
          <w:tcPr>
            <w:tcW w:type="dxa" w:w="68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The association, not individual members, holds contract and tort liability as provided by statute.</w:t>
            </w:r>
          </w:p>
        </w:tc>
      </w:tr>
      <w:tr>
        <w:tc>
          <w:tcPr>
            <w:tcW w:type="dxa" w:w="3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Members have no agency</w:t>
            </w:r>
          </w:p>
        </w:tc>
        <w:tc>
          <w:tcPr>
            <w:tcW w:type="dxa" w:w="68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W.S. 17-32-118. Membership alone does not bind the association.</w:t>
            </w:r>
          </w:p>
        </w:tc>
      </w:tr>
      <w:tr>
        <w:tc>
          <w:tcPr>
            <w:tcW w:type="dxa" w:w="3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Members have no fiduciary duty to each other</w:t>
            </w:r>
          </w:p>
        </w:tc>
        <w:tc>
          <w:tcPr>
            <w:tcW w:type="dxa" w:w="68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W.S. 17-32-117. Duty runs to the purpose and to these principles.</w:t>
            </w:r>
          </w:p>
        </w:tc>
      </w:tr>
      <w:tr>
        <w:tc>
          <w:tcPr>
            <w:tcW w:type="dxa" w:w="3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Administrators</w:t>
            </w:r>
          </w:p>
        </w:tc>
        <w:tc>
          <w:tcPr>
            <w:tcW w:type="dxa" w:w="68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Selected under §1.8. They execute member-authorized tasks. They are not a shadow board.</w:t>
            </w:r>
          </w:p>
        </w:tc>
      </w:tr>
      <w:tr>
        <w:tc>
          <w:tcPr>
            <w:tcW w:type="dxa" w:w="3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DLT and consensus</w:t>
            </w:r>
          </w:p>
        </w:tc>
        <w:tc>
          <w:tcPr>
            <w:tcW w:type="dxa" w:w="68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W.S. 17-32-121 and 17-32-122. Ledgers, smart contracts, and algorithms may implement these principles. They do not replace them.</w:t>
            </w:r>
          </w:p>
        </w:tc>
      </w:tr>
      <w:tr>
        <w:tc>
          <w:tcPr>
            <w:tcW w:type="dxa" w:w="3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Perpetual existence</w:t>
            </w:r>
          </w:p>
        </w:tc>
        <w:tc>
          <w:tcPr>
            <w:tcW w:type="dxa" w:w="68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Dissolution only as provided herein or by statute.</w:t>
            </w:r>
          </w:p>
        </w:tc>
      </w:tr>
      <w:tr>
        <w:tc>
          <w:tcPr>
            <w:tcW w:type="dxa" w:w="3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Records inspection</w:t>
            </w:r>
          </w:p>
        </w:tc>
        <w:tc>
          <w:tcPr>
            <w:tcW w:type="dxa" w:w="68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Members may inspect records as provided by W.S. 17-32-124 and §8.</w:t>
            </w:r>
          </w:p>
        </w:tc>
      </w:tr>
    </w:tbl>
    <w:p>
      <w:pPr>
        <w:spacing w:after="160"/>
      </w:pPr>
    </w:p>
    <w:p>
      <w:pPr>
        <w:pStyle w:val="Heading2"/>
        <w:spacing w:after="120" w:before="280"/>
      </w:pPr>
      <w:r>
        <w:rPr>
          <w:rFonts w:ascii="Calibri" w:cs="Calibri" w:eastAsia="Calibri" w:hAnsi="Calibri"/>
          <w:b/>
          <w:bCs/>
          <w:color w:val="0D5C63"/>
          <w:sz w:val="26"/>
          <w:szCs w:val="26"/>
        </w:rPr>
        <w:t xml:space="preserve">1.3 What this wrapper is not</w:t>
      </w:r>
    </w:p>
    <w:p>
      <w:pPr>
        <w:pStyle w:val="ListParagraph"/>
        <w:numPr>
          <w:ilvl w:val="0"/>
          <w:numId w:val="2"/>
        </w:numPr>
        <w:spacing w:after="80" w:line="260"/>
      </w:pPr>
      <w:r>
        <w:rPr>
          <w:rFonts w:ascii="Calibri" w:cs="Calibri" w:eastAsia="Calibri" w:hAnsi="Calibri"/>
          <w:color w:val="1C1C1C"/>
          <w:sz w:val="21"/>
          <w:szCs w:val="21"/>
        </w:rPr>
        <w:t xml:space="preserve">Not a securities offering. Membership is participation in a nonprofit purpose, not an investment contract.</w:t>
      </w:r>
    </w:p>
    <w:p>
      <w:pPr>
        <w:pStyle w:val="ListParagraph"/>
        <w:numPr>
          <w:ilvl w:val="0"/>
          <w:numId w:val="2"/>
        </w:numPr>
        <w:spacing w:after="80" w:line="260"/>
      </w:pPr>
      <w:r>
        <w:rPr>
          <w:rFonts w:ascii="Calibri" w:cs="Calibri" w:eastAsia="Calibri" w:hAnsi="Calibri"/>
          <w:color w:val="1C1C1C"/>
          <w:sz w:val="21"/>
          <w:szCs w:val="21"/>
        </w:rPr>
        <w:t xml:space="preserve">Not a bank charter. Credit-union language in the mission is programmatic until a separately licensed institution exists.</w:t>
      </w:r>
    </w:p>
    <w:p>
      <w:pPr>
        <w:pStyle w:val="ListParagraph"/>
        <w:numPr>
          <w:ilvl w:val="0"/>
          <w:numId w:val="2"/>
        </w:numPr>
        <w:spacing w:after="80" w:line="260"/>
      </w:pPr>
      <w:r>
        <w:rPr>
          <w:rFonts w:ascii="Calibri" w:cs="Calibri" w:eastAsia="Calibri" w:hAnsi="Calibri"/>
          <w:color w:val="1C1C1C"/>
          <w:sz w:val="21"/>
          <w:szCs w:val="21"/>
        </w:rPr>
        <w:t xml:space="preserve">Not a 501(c)(3) until counsel files and the IRS recognizes. DUNA status and tax-exempt status are different instruments.</w:t>
      </w:r>
    </w:p>
    <w:p>
      <w:pPr>
        <w:pStyle w:val="ListParagraph"/>
        <w:numPr>
          <w:ilvl w:val="0"/>
          <w:numId w:val="2"/>
        </w:numPr>
        <w:spacing w:after="80" w:line="260"/>
      </w:pPr>
      <w:r>
        <w:rPr>
          <w:rFonts w:ascii="Calibri" w:cs="Calibri" w:eastAsia="Calibri" w:hAnsi="Calibri"/>
          <w:color w:val="1C1C1C"/>
          <w:sz w:val="21"/>
          <w:szCs w:val="21"/>
        </w:rPr>
        <w:t xml:space="preserve">Not the Phase Mirror managed-service operator. Commercial SaaS sits in a licensed operator under the Phase Mirror License. The DUNA holds the commons, the literary definition, and surplus directed to purpose.</w:t>
      </w:r>
    </w:p>
    <w:p>
      <w:pPr>
        <w:pStyle w:val="Heading2"/>
        <w:spacing w:after="120" w:before="280"/>
      </w:pPr>
      <w:r>
        <w:rPr>
          <w:rFonts w:ascii="Calibri" w:cs="Calibri" w:eastAsia="Calibri" w:hAnsi="Calibri"/>
          <w:b/>
          <w:bCs/>
          <w:color w:val="0D5C63"/>
          <w:sz w:val="26"/>
          <w:szCs w:val="26"/>
        </w:rPr>
        <w:t xml:space="preserve">1.4 Four-layer mission 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Layer</w:t>
            </w:r>
          </w:p>
        </w:tc>
        <w:tc>
          <w:tcPr>
            <w:tcW w:type="dxa" w:w="36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Job</w:t>
            </w:r>
          </w:p>
        </w:tc>
        <w:tc>
          <w:tcPr>
            <w:tcW w:type="dxa" w:w="368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What it forbids</w:t>
            </w:r>
          </w:p>
        </w:tc>
      </w:tr>
      <w:tr>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DUNA / literary charity</w:t>
            </w:r>
          </w:p>
        </w:tc>
        <w:tc>
          <w:tcPr>
            <w:tcW w:type="dxa" w:w="36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Legal person + purpose lock</w:t>
            </w:r>
          </w:p>
        </w:tc>
        <w:tc>
          <w:tcPr>
            <w:tcW w:type="dxa" w:w="36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Acquisition-for-profit; member dividends</w:t>
            </w:r>
          </w:p>
        </w:tc>
      </w:tr>
      <w:tr>
        <w:tc>
          <w:tcPr>
            <w:tcW w:type="dxa" w:w="28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Social investment practice</w:t>
            </w:r>
          </w:p>
        </w:tc>
        <w:tc>
          <w:tcPr>
            <w:tcW w:type="dxa" w:w="36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Revenue that serves purpose</w:t>
            </w:r>
          </w:p>
        </w:tc>
        <w:tc>
          <w:tcPr>
            <w:tcW w:type="dxa" w:w="36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Extracting surplus as private equity</w:t>
            </w:r>
          </w:p>
        </w:tc>
      </w:tr>
      <w:tr>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Credit-union logic (programmatic)</w:t>
            </w:r>
          </w:p>
        </w:tc>
        <w:tc>
          <w:tcPr>
            <w:tcW w:type="dxa" w:w="36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Member-owned exchange rails</w:t>
            </w:r>
          </w:p>
        </w:tc>
        <w:tc>
          <w:tcPr>
            <w:tcW w:type="dxa" w:w="36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Platform fees that hollow reciprocity</w:t>
            </w:r>
          </w:p>
        </w:tc>
      </w:tr>
      <w:tr>
        <w:tc>
          <w:tcPr>
            <w:tcW w:type="dxa" w:w="28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Literary charity core</w:t>
            </w:r>
          </w:p>
        </w:tc>
        <w:tc>
          <w:tcPr>
            <w:tcW w:type="dxa" w:w="36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Living definition of Multiplicity</w:t>
            </w:r>
          </w:p>
        </w:tc>
        <w:tc>
          <w:tcPr>
            <w:tcW w:type="dxa" w:w="36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Homogenizing people into a single metric</w:t>
            </w:r>
          </w:p>
        </w:tc>
      </w:tr>
    </w:tbl>
    <w:p>
      <w:pPr>
        <w:spacing w:after="120"/>
      </w:pPr>
    </w:p>
    <w:p>
      <w:pPr>
        <w:spacing w:after="160" w:before="0" w:line="276"/>
        <w:jc w:val="left"/>
      </w:pPr>
      <w:r>
        <w:rPr>
          <w:rFonts w:ascii="Calibri" w:cs="Calibri" w:eastAsia="Calibri" w:hAnsi="Calibri"/>
          <w:b w:val="false"/>
          <w:bCs w:val="false"/>
          <w:i w:val="false"/>
          <w:iCs w:val="false"/>
          <w:color w:val="1C1C1C"/>
          <w:sz w:val="22"/>
          <w:szCs w:val="22"/>
        </w:rPr>
        <w:t xml:space="preserve">This stack is already stated in Citizen Gardens legal architecture. The DUNA is the outer legal person. The other layers are operating commitments, not separate filings on day one.</w:t>
      </w:r>
    </w:p>
    <w:p>
      <w:pPr>
        <w:pStyle w:val="Heading1"/>
        <w:pBdr>
          <w:bottom w:val="single" w:color="0D5C63" w:sz="12" w:space="4"/>
        </w:pBdr>
        <w:spacing w:after="160" w:before="360"/>
      </w:pPr>
      <w:r>
        <w:rPr>
          <w:rFonts w:ascii="Calibri" w:cs="Calibri" w:eastAsia="Calibri" w:hAnsi="Calibri"/>
          <w:b/>
          <w:bCs/>
          <w:color w:val="0D5C63"/>
          <w:sz w:val="32"/>
          <w:szCs w:val="32"/>
        </w:rPr>
        <w:t xml:space="preserve">2. Purpose</w:t>
      </w:r>
    </w:p>
    <w:p>
      <w:pPr>
        <w:spacing w:after="160" w:before="0" w:line="276"/>
        <w:jc w:val="left"/>
      </w:pPr>
      <w:r>
        <w:rPr>
          <w:rFonts w:ascii="Calibri" w:cs="Calibri" w:eastAsia="Calibri" w:hAnsi="Calibri"/>
          <w:b w:val="false"/>
          <w:bCs w:val="false"/>
          <w:i w:val="false"/>
          <w:iCs w:val="false"/>
          <w:color w:val="1C1C1C"/>
          <w:sz w:val="22"/>
          <w:szCs w:val="22"/>
        </w:rPr>
        <w:t xml:space="preserve">The common nonprofit purpose is:</w:t>
      </w:r>
    </w:p>
    <w:p>
      <w:pPr>
        <w:spacing w:after="160" w:before="0" w:line="276"/>
        <w:jc w:val="left"/>
      </w:pPr>
      <w:r>
        <w:rPr>
          <w:rFonts w:ascii="Calibri" w:cs="Calibri" w:eastAsia="Calibri" w:hAnsi="Calibri"/>
          <w:b w:val="false"/>
          <w:bCs w:val="false"/>
          <w:i/>
          <w:iCs/>
          <w:color w:val="1C1C1C"/>
          <w:sz w:val="22"/>
          <w:szCs w:val="22"/>
        </w:rPr>
        <w:t xml:space="preserve">To sustain the living definition of Multiplicity between people; to prototype civic infrastructure rooted in reciprocity; and to research, develop, and steward public-goods tools—including ΛProof, EchoBraid, and Phase Mirror methodology—as open knowledge and licensed services whose surplus returns to the purpose.</w:t>
      </w:r>
    </w:p>
    <w:p>
      <w:pPr>
        <w:pStyle w:val="Heading3"/>
        <w:spacing w:after="80" w:before="200"/>
      </w:pPr>
      <w:r>
        <w:rPr>
          <w:rFonts w:ascii="Calibri" w:cs="Calibri" w:eastAsia="Calibri" w:hAnsi="Calibri"/>
          <w:b/>
          <w:bCs/>
          <w:color w:val="1A4A50"/>
          <w:sz w:val="24"/>
          <w:szCs w:val="24"/>
        </w:rPr>
        <w:t xml:space="preserve">Departments as living laboratories</w:t>
      </w:r>
    </w:p>
    <w:p>
      <w:pPr>
        <w:pStyle w:val="ListParagraph"/>
        <w:numPr>
          <w:ilvl w:val="0"/>
          <w:numId w:val="2"/>
        </w:numPr>
        <w:spacing w:after="80" w:line="260"/>
      </w:pPr>
      <w:r>
        <w:rPr>
          <w:rFonts w:ascii="Calibri" w:cs="Calibri" w:eastAsia="Calibri" w:hAnsi="Calibri"/>
          <w:color w:val="1C1C1C"/>
          <w:sz w:val="21"/>
          <w:szCs w:val="21"/>
        </w:rPr>
        <w:t xml:space="preserve">Sovereign Urban Gardens (SUG). Neighborhood sovereignty nodes. Micro-lots, pocket gardens, community farms. Consent-based local assemblies. Kit-of-parts: rainwater, tool lockers, camera-free privacy zones. Target: ≥300 households served per mature node-year.</w:t>
      </w:r>
    </w:p>
    <w:p>
      <w:pPr>
        <w:pStyle w:val="ListParagraph"/>
        <w:numPr>
          <w:ilvl w:val="0"/>
          <w:numId w:val="2"/>
        </w:numPr>
        <w:spacing w:after="80" w:line="260"/>
      </w:pPr>
      <w:r>
        <w:rPr>
          <w:rFonts w:ascii="Calibri" w:cs="Calibri" w:eastAsia="Calibri" w:hAnsi="Calibri"/>
          <w:color w:val="1C1C1C"/>
          <w:sz w:val="21"/>
          <w:szCs w:val="21"/>
        </w:rPr>
        <w:t xml:space="preserve">Criminal Justice pathway. Non-carceral, dignity-first stabilization. Rapid Reentry Sprint (30–60 days). Diversion micro-courts. Inside-out learning pods.</w:t>
      </w:r>
    </w:p>
    <w:p>
      <w:pPr>
        <w:pStyle w:val="ListParagraph"/>
        <w:numPr>
          <w:ilvl w:val="0"/>
          <w:numId w:val="2"/>
        </w:numPr>
        <w:spacing w:after="80" w:line="260"/>
      </w:pPr>
      <w:r>
        <w:rPr>
          <w:rFonts w:ascii="Calibri" w:cs="Calibri" w:eastAsia="Calibri" w:hAnsi="Calibri"/>
          <w:color w:val="1C1C1C"/>
          <w:sz w:val="21"/>
          <w:szCs w:val="21"/>
        </w:rPr>
        <w:t xml:space="preserve">Civic R&amp;D. Open-source frames for gardens, governance, and lawful recursion. Phase Mirror as methodology commons.</w:t>
      </w:r>
    </w:p>
    <w:p>
      <w:pPr>
        <w:spacing w:after="160" w:before="0" w:line="276"/>
        <w:jc w:val="left"/>
      </w:pPr>
      <w:r>
        <w:rPr>
          <w:rFonts w:ascii="Calibri" w:cs="Calibri" w:eastAsia="Calibri" w:hAnsi="Calibri"/>
          <w:b w:val="false"/>
          <w:bCs w:val="false"/>
          <w:i w:val="false"/>
          <w:iCs w:val="false"/>
          <w:color w:val="1C1C1C"/>
          <w:sz w:val="22"/>
          <w:szCs w:val="22"/>
        </w:rPr>
        <w:t xml:space="preserve">New departments may be stood up by member approval under §7. They must name a node sponsor, a Phase Mirror dissonance register, and a 90-day metric.</w:t>
      </w:r>
    </w:p>
    <w:p>
      <w:pPr>
        <w:pStyle w:val="Heading1"/>
        <w:pBdr>
          <w:bottom w:val="single" w:color="0D5C63" w:sz="12" w:space="4"/>
        </w:pBdr>
        <w:spacing w:after="160" w:before="360"/>
      </w:pPr>
      <w:r>
        <w:rPr>
          <w:rFonts w:ascii="Calibri" w:cs="Calibri" w:eastAsia="Calibri" w:hAnsi="Calibri"/>
          <w:b/>
          <w:bCs/>
          <w:color w:val="0D5C63"/>
          <w:sz w:val="32"/>
          <w:szCs w:val="32"/>
        </w:rPr>
        <w:t xml:space="preserve">3. The four infrastructures — one operating system</w:t>
      </w:r>
    </w:p>
    <w:p>
      <w:pPr>
        <w:spacing w:after="160" w:before="0" w:line="276"/>
        <w:jc w:val="left"/>
      </w:pPr>
      <w:r>
        <w:rPr>
          <w:rFonts w:ascii="Calibri" w:cs="Calibri" w:eastAsia="Calibri" w:hAnsi="Calibri"/>
          <w:b w:val="false"/>
          <w:bCs w:val="false"/>
          <w:i w:val="false"/>
          <w:iCs w:val="false"/>
          <w:color w:val="1C1C1C"/>
          <w:sz w:val="22"/>
          <w:szCs w:val="22"/>
        </w:rPr>
        <w:t xml:space="preserve">Four names. Four jobs. If a name does not change a mechanism, drop it.</w:t>
      </w:r>
    </w:p>
    <w:p>
      <w:pPr>
        <w:pStyle w:val="Heading2"/>
        <w:spacing w:after="120" w:before="280"/>
      </w:pPr>
      <w:r>
        <w:rPr>
          <w:rFonts w:ascii="Calibri" w:cs="Calibri" w:eastAsia="Calibri" w:hAnsi="Calibri"/>
          <w:b/>
          <w:bCs/>
          <w:color w:val="0D5C63"/>
          <w:sz w:val="26"/>
          <w:szCs w:val="26"/>
        </w:rPr>
        <w:t xml:space="preserve">3.1 DUNA — legal person and treasury</w:t>
      </w:r>
    </w:p>
    <w:p>
      <w:pPr>
        <w:spacing w:after="160" w:before="0" w:line="276"/>
        <w:jc w:val="left"/>
      </w:pPr>
      <w:r>
        <w:rPr>
          <w:rFonts w:ascii="Calibri" w:cs="Calibri" w:eastAsia="Calibri" w:hAnsi="Calibri"/>
          <w:b w:val="false"/>
          <w:bCs w:val="false"/>
          <w:i w:val="false"/>
          <w:iCs w:val="false"/>
          <w:color w:val="1C1C1C"/>
          <w:sz w:val="22"/>
          <w:szCs w:val="22"/>
        </w:rPr>
        <w:t xml:space="preserve">The association can hold property, sign contracts, receive gifts, appoint an agent for service of process, obtain an EIN, and appear in court as provided by statute. Treasury is a public-goods account, not a cap table.</w:t>
      </w:r>
    </w:p>
    <w:p>
      <w:pPr>
        <w:pStyle w:val="Heading2"/>
        <w:spacing w:after="120" w:before="280"/>
      </w:pPr>
      <w:r>
        <w:rPr>
          <w:rFonts w:ascii="Calibri" w:cs="Calibri" w:eastAsia="Calibri" w:hAnsi="Calibri"/>
          <w:b/>
          <w:bCs/>
          <w:color w:val="0D5C63"/>
          <w:sz w:val="26"/>
          <w:szCs w:val="26"/>
        </w:rPr>
        <w:t xml:space="preserve">3.2 Buurtzorg — how work scales</w:t>
      </w:r>
    </w:p>
    <w:p>
      <w:pPr>
        <w:spacing w:after="160" w:before="0" w:line="276"/>
        <w:jc w:val="left"/>
      </w:pPr>
      <w:r>
        <w:rPr>
          <w:rFonts w:ascii="Calibri" w:cs="Calibri" w:eastAsia="Calibri" w:hAnsi="Calibri"/>
          <w:b w:val="false"/>
          <w:bCs w:val="false"/>
          <w:i w:val="false"/>
          <w:iCs w:val="false"/>
          <w:color w:val="1C1C1C"/>
          <w:sz w:val="22"/>
          <w:szCs w:val="22"/>
        </w:rPr>
        <w:t xml:space="preserve">Buurtzorg (neighborhood care) proved that teams of at most twelve professionals can own intake, scheduling, hiring, quality, and local budget with no middle managers. A thin back office and coaches without command authority keep the system coherent. Citizen Gardens copies the topology, not the nursing license.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Buurtzorg pattern</w:t>
            </w:r>
          </w:p>
        </w:tc>
        <w:tc>
          <w:tcPr>
            <w:tcW w:type="dxa" w:w="608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Citizen Gardens translation</w:t>
            </w:r>
          </w:p>
        </w:tc>
      </w:tr>
      <w:tr>
        <w:tc>
          <w:tcPr>
            <w:tcW w:type="dxa" w:w="40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Team ≤12; split when larger</w:t>
            </w:r>
          </w:p>
        </w:tc>
        <w:tc>
          <w:tcPr>
            <w:tcW w:type="dxa" w:w="60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Sovereignty Node ≤12 active operators; split by neighborhood or function</w:t>
            </w:r>
          </w:p>
        </w:tc>
      </w:tr>
      <w:tr>
        <w:tc>
          <w:tcPr>
            <w:tcW w:type="dxa" w:w="40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 team boss; collective decisions</w:t>
            </w:r>
          </w:p>
        </w:tc>
        <w:tc>
          <w:tcPr>
            <w:tcW w:type="dxa" w:w="60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Consent plus Phase Mirror levers; no node manager title</w:t>
            </w:r>
          </w:p>
        </w:tc>
      </w:tr>
      <w:tr>
        <w:tc>
          <w:tcPr>
            <w:tcW w:type="dxa" w:w="40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Coaches advise, do not command</w:t>
            </w:r>
          </w:p>
        </w:tc>
        <w:tc>
          <w:tcPr>
            <w:tcW w:type="dxa" w:w="60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Phase Mirror coaches / administrators with no veto over node care-work</w:t>
            </w:r>
          </w:p>
        </w:tc>
      </w:tr>
      <w:tr>
        <w:tc>
          <w:tcPr>
            <w:tcW w:type="dxa" w:w="40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Tiny back office</w:t>
            </w:r>
          </w:p>
        </w:tc>
        <w:tc>
          <w:tcPr>
            <w:tcW w:type="dxa" w:w="60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Treasury, legal agent, ICT, records — target overhead ≤15% of operating spend</w:t>
            </w:r>
          </w:p>
        </w:tc>
      </w:tr>
      <w:tr>
        <w:tc>
          <w:tcPr>
            <w:tcW w:type="dxa" w:w="40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Humanity over bureaucracy</w:t>
            </w:r>
          </w:p>
        </w:tc>
        <w:tc>
          <w:tcPr>
            <w:tcW w:type="dxa" w:w="60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Information personhood; camera-free zones; right to withdraw consent</w:t>
            </w:r>
          </w:p>
        </w:tc>
      </w:tr>
      <w:tr>
        <w:tc>
          <w:tcPr>
            <w:tcW w:type="dxa" w:w="40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Happy staff / clients / finances</w:t>
            </w:r>
          </w:p>
        </w:tc>
        <w:tc>
          <w:tcPr>
            <w:tcW w:type="dxa" w:w="60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Member dignity / community outcome / node solvency — all three, or the node pauses</w:t>
            </w:r>
          </w:p>
        </w:tc>
      </w:tr>
      <w:tr>
        <w:tc>
          <w:tcPr>
            <w:tcW w:type="dxa" w:w="40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Solution-driven interaction</w:t>
            </w:r>
          </w:p>
        </w:tc>
        <w:tc>
          <w:tcPr>
            <w:tcW w:type="dxa" w:w="60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Extract → Map tensions → Rank → Levers → Precision question</w:t>
            </w:r>
          </w:p>
        </w:tc>
      </w:tr>
    </w:tbl>
    <w:p>
      <w:pPr>
        <w:spacing w:after="120"/>
      </w:pPr>
    </w:p>
    <w:p>
      <w:pPr>
        <w:pStyle w:val="Heading2"/>
        <w:spacing w:after="120" w:before="280"/>
      </w:pPr>
      <w:r>
        <w:rPr>
          <w:rFonts w:ascii="Calibri" w:cs="Calibri" w:eastAsia="Calibri" w:hAnsi="Calibri"/>
          <w:b/>
          <w:bCs/>
          <w:color w:val="0D5C63"/>
          <w:sz w:val="26"/>
          <w:szCs w:val="26"/>
        </w:rPr>
        <w:t xml:space="preserve">3.3 Bushidō — duty code of the operator</w:t>
      </w:r>
    </w:p>
    <w:p>
      <w:pPr>
        <w:spacing w:after="160" w:before="0" w:line="276"/>
        <w:jc w:val="left"/>
      </w:pPr>
      <w:r>
        <w:rPr>
          <w:rFonts w:ascii="Calibri" w:cs="Calibri" w:eastAsia="Calibri" w:hAnsi="Calibri"/>
          <w:b w:val="false"/>
          <w:bCs w:val="false"/>
          <w:i w:val="false"/>
          <w:iCs w:val="false"/>
          <w:color w:val="1C1C1C"/>
          <w:sz w:val="22"/>
          <w:szCs w:val="22"/>
        </w:rPr>
        <w:t xml:space="preserve">Bushidō here is not militarism and not ancestor theater. It is a duty code for people who hold power over neighbors, data, and treasuries. The eight virtues bind operators. They do not bind the public as subjects.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Virtue</w:t>
            </w:r>
          </w:p>
        </w:tc>
        <w:tc>
          <w:tcPr>
            <w:tcW w:type="dxa" w:w="384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Civic translation</w:t>
            </w:r>
          </w:p>
        </w:tc>
        <w:tc>
          <w:tcPr>
            <w:tcW w:type="dxa" w:w="384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Binding artifact</w:t>
            </w:r>
          </w:p>
        </w:tc>
      </w:tr>
      <w:tr>
        <w:tc>
          <w:tcPr>
            <w:tcW w:type="dxa" w:w="24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Gi — rectitude</w:t>
            </w:r>
          </w:p>
        </w:tc>
        <w:tc>
          <w:tcPr>
            <w:tcW w:type="dxa" w:w="38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Do the lawful thing when no one is watching</w:t>
            </w:r>
          </w:p>
        </w:tc>
        <w:tc>
          <w:tcPr>
            <w:tcW w:type="dxa" w:w="38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L0 invariants; contraction condition; no vibe override</w:t>
            </w:r>
          </w:p>
        </w:tc>
      </w:tr>
      <w:tr>
        <w:tc>
          <w:tcPr>
            <w:tcW w:type="dxa" w:w="24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Yū — courage</w:t>
            </w:r>
          </w:p>
        </w:tc>
        <w:tc>
          <w:tcPr>
            <w:tcW w:type="dxa" w:w="38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Name the contradiction in public</w:t>
            </w:r>
          </w:p>
        </w:tc>
        <w:tc>
          <w:tcPr>
            <w:tcW w:type="dxa" w:w="38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Dissonance report filed before a major act</w:t>
            </w:r>
          </w:p>
        </w:tc>
      </w:tr>
      <w:tr>
        <w:tc>
          <w:tcPr>
            <w:tcW w:type="dxa" w:w="24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Jin — benevolence</w:t>
            </w:r>
          </w:p>
        </w:tc>
        <w:tc>
          <w:tcPr>
            <w:tcW w:type="dxa" w:w="38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Power is justified only as care</w:t>
            </w:r>
          </w:p>
        </w:tc>
        <w:tc>
          <w:tcPr>
            <w:tcW w:type="dxa" w:w="38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Reciprocity double-count; dignity-first CJ pathway</w:t>
            </w:r>
          </w:p>
        </w:tc>
      </w:tr>
      <w:tr>
        <w:tc>
          <w:tcPr>
            <w:tcW w:type="dxa" w:w="24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Rei — respect</w:t>
            </w:r>
          </w:p>
        </w:tc>
        <w:tc>
          <w:tcPr>
            <w:tcW w:type="dxa" w:w="38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Courtesy as recognition of personhood</w:t>
            </w:r>
          </w:p>
        </w:tc>
        <w:tc>
          <w:tcPr>
            <w:tcW w:type="dxa" w:w="38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Consent logs; camera-free zones; data minimization</w:t>
            </w:r>
          </w:p>
        </w:tc>
      </w:tr>
      <w:tr>
        <w:tc>
          <w:tcPr>
            <w:tcW w:type="dxa" w:w="24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Makoto — sincerity</w:t>
            </w:r>
          </w:p>
        </w:tc>
        <w:tc>
          <w:tcPr>
            <w:tcW w:type="dxa" w:w="38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Say only what an artifact can carry</w:t>
            </w:r>
          </w:p>
        </w:tc>
        <w:tc>
          <w:tcPr>
            <w:tcW w:type="dxa" w:w="38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Spec, SLA, contract, dataset — not “we align”</w:t>
            </w:r>
          </w:p>
        </w:tc>
      </w:tr>
      <w:tr>
        <w:tc>
          <w:tcPr>
            <w:tcW w:type="dxa" w:w="24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Meiyo — honor</w:t>
            </w:r>
          </w:p>
        </w:tc>
        <w:tc>
          <w:tcPr>
            <w:tcW w:type="dxa" w:w="38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Reputation is earned and inspectable</w:t>
            </w:r>
          </w:p>
        </w:tc>
        <w:tc>
          <w:tcPr>
            <w:tcW w:type="dxa" w:w="38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Intrinsic credits; audit hash; no purchased honor</w:t>
            </w:r>
          </w:p>
        </w:tc>
      </w:tr>
      <w:tr>
        <w:tc>
          <w:tcPr>
            <w:tcW w:type="dxa" w:w="24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Chūgi — fidelity</w:t>
            </w:r>
          </w:p>
        </w:tc>
        <w:tc>
          <w:tcPr>
            <w:tcW w:type="dxa" w:w="38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Loyalty is to the purpose, not a person</w:t>
            </w:r>
          </w:p>
        </w:tc>
        <w:tc>
          <w:tcPr>
            <w:tcW w:type="dxa" w:w="38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Mission lock; resignation rights remain intact</w:t>
            </w:r>
          </w:p>
        </w:tc>
      </w:tr>
      <w:tr>
        <w:tc>
          <w:tcPr>
            <w:tcW w:type="dxa" w:w="24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Jisei — self-mastery</w:t>
            </w:r>
          </w:p>
        </w:tc>
        <w:tc>
          <w:tcPr>
            <w:tcW w:type="dxa" w:w="38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Govern yourself before governing others</w:t>
            </w:r>
          </w:p>
        </w:tc>
        <w:tc>
          <w:tcPr>
            <w:tcW w:type="dxa" w:w="38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Kill-switch; withdrawal of consent; no member-agency</w:t>
            </w:r>
          </w:p>
        </w:tc>
      </w:tr>
    </w:tbl>
    <w:p>
      <w:pPr>
        <w:spacing w:after="120"/>
      </w:pPr>
    </w:p>
    <w:p>
      <w:pPr>
        <w:spacing w:after="160" w:before="0" w:line="276"/>
        <w:jc w:val="left"/>
      </w:pPr>
      <w:r>
        <w:rPr>
          <w:rFonts w:ascii="Calibri" w:cs="Calibri" w:eastAsia="Calibri" w:hAnsi="Calibri"/>
          <w:b w:val="false"/>
          <w:bCs w:val="false"/>
          <w:i w:val="false"/>
          <w:iCs w:val="false"/>
          <w:color w:val="1C1C1C"/>
          <w:sz w:val="22"/>
          <w:szCs w:val="22"/>
        </w:rPr>
        <w:t xml:space="preserve">Fidelity is to the purpose. If a person and the purpose collide, the purpose wins. Members may resign. Administrators may be removed. There is no lord.</w:t>
      </w:r>
    </w:p>
    <w:p>
      <w:pPr>
        <w:pStyle w:val="Heading2"/>
        <w:spacing w:after="120" w:before="280"/>
      </w:pPr>
      <w:r>
        <w:rPr>
          <w:rFonts w:ascii="Calibri" w:cs="Calibri" w:eastAsia="Calibri" w:hAnsi="Calibri"/>
          <w:b/>
          <w:bCs/>
          <w:color w:val="0D5C63"/>
          <w:sz w:val="26"/>
          <w:szCs w:val="26"/>
        </w:rPr>
        <w:t xml:space="preserve">3.4 Phase Mirror — how decisions bind</w:t>
      </w:r>
    </w:p>
    <w:p>
      <w:pPr>
        <w:spacing w:after="160" w:before="0" w:line="276"/>
        <w:jc w:val="left"/>
      </w:pPr>
      <w:r>
        <w:rPr>
          <w:rFonts w:ascii="Calibri" w:cs="Calibri" w:eastAsia="Calibri" w:hAnsi="Calibri"/>
          <w:b w:val="false"/>
          <w:bCs w:val="false"/>
          <w:i w:val="false"/>
          <w:iCs w:val="false"/>
          <w:color w:val="1C1C1C"/>
          <w:sz w:val="22"/>
          <w:szCs w:val="22"/>
        </w:rPr>
        <w:t xml:space="preserve">Phase Mirror is the association’s decision protocol. It is a callable, auditable inconsistency-finding loop. It does not intercept every act at runtime. It binds design-time, change-time, and exception-time.</w:t>
      </w:r>
    </w:p>
    <w:p>
      <w:pPr>
        <w:pStyle w:val="Heading3"/>
        <w:spacing w:after="80" w:before="200"/>
      </w:pPr>
      <w:r>
        <w:rPr>
          <w:rFonts w:ascii="Calibri" w:cs="Calibri" w:eastAsia="Calibri" w:hAnsi="Calibri"/>
          <w:b/>
          <w:bCs/>
          <w:color w:val="1A4A50"/>
          <w:sz w:val="24"/>
          <w:szCs w:val="24"/>
        </w:rPr>
        <w:t xml:space="preserve">Operating loop</w:t>
      </w:r>
    </w:p>
    <w:p>
      <w:pPr>
        <w:pStyle w:val="ListParagraph"/>
        <w:numPr>
          <w:ilvl w:val="0"/>
          <w:numId w:val="2"/>
        </w:numPr>
        <w:spacing w:after="80" w:line="260"/>
      </w:pPr>
      <w:r>
        <w:rPr>
          <w:rFonts w:ascii="Calibri" w:cs="Calibri" w:eastAsia="Calibri" w:hAnsi="Calibri"/>
          <w:color w:val="1C1C1C"/>
          <w:sz w:val="21"/>
          <w:szCs w:val="21"/>
        </w:rPr>
        <w:t xml:space="preserve">Extract. Goals, claims, fears, constraints, stakeholders, horizon.</w:t>
      </w:r>
    </w:p>
    <w:p>
      <w:pPr>
        <w:pStyle w:val="ListParagraph"/>
        <w:numPr>
          <w:ilvl w:val="0"/>
          <w:numId w:val="2"/>
        </w:numPr>
        <w:spacing w:after="80" w:line="260"/>
      </w:pPr>
      <w:r>
        <w:rPr>
          <w:rFonts w:ascii="Calibri" w:cs="Calibri" w:eastAsia="Calibri" w:hAnsi="Calibri"/>
          <w:color w:val="1C1C1C"/>
          <w:sz w:val="21"/>
          <w:szCs w:val="21"/>
        </w:rPr>
        <w:t xml:space="preserve">Map tensions. Goal vs incentive. Urgency vs capacity. Risk claimed vs risk owned. Control desired vs control available.</w:t>
      </w:r>
    </w:p>
    <w:p>
      <w:pPr>
        <w:pStyle w:val="ListParagraph"/>
        <w:numPr>
          <w:ilvl w:val="0"/>
          <w:numId w:val="2"/>
        </w:numPr>
        <w:spacing w:after="80" w:line="260"/>
      </w:pPr>
      <w:r>
        <w:rPr>
          <w:rFonts w:ascii="Calibri" w:cs="Calibri" w:eastAsia="Calibri" w:hAnsi="Calibri"/>
          <w:color w:val="1C1C1C"/>
          <w:sz w:val="21"/>
          <w:szCs w:val="21"/>
        </w:rPr>
        <w:t xml:space="preserve">Rank. Impact × tractability. High-impact / low-tractability items are named as constraints, not fake levers.</w:t>
      </w:r>
    </w:p>
    <w:p>
      <w:pPr>
        <w:pStyle w:val="ListParagraph"/>
        <w:numPr>
          <w:ilvl w:val="0"/>
          <w:numId w:val="2"/>
        </w:numPr>
        <w:spacing w:after="80" w:line="260"/>
      </w:pPr>
      <w:r>
        <w:rPr>
          <w:rFonts w:ascii="Calibri" w:cs="Calibri" w:eastAsia="Calibri" w:hAnsi="Calibri"/>
          <w:color w:val="1C1C1C"/>
          <w:sz w:val="21"/>
          <w:szCs w:val="21"/>
        </w:rPr>
        <w:t xml:space="preserve">Produce. Dissonance bullets. Levers in the form [Owner] — Lever — Metric — Horizon. One optional artifact.</w:t>
      </w:r>
    </w:p>
    <w:p>
      <w:pPr>
        <w:pStyle w:val="ListParagraph"/>
        <w:numPr>
          <w:ilvl w:val="0"/>
          <w:numId w:val="2"/>
        </w:numPr>
        <w:spacing w:after="80" w:line="260"/>
      </w:pPr>
      <w:r>
        <w:rPr>
          <w:rFonts w:ascii="Calibri" w:cs="Calibri" w:eastAsia="Calibri" w:hAnsi="Calibri"/>
          <w:color w:val="1C1C1C"/>
          <w:sz w:val="21"/>
          <w:szCs w:val="21"/>
        </w:rPr>
        <w:t xml:space="preserve">Precision question. At most one, and only if a blocking ambiguity remains.</w:t>
      </w:r>
    </w:p>
    <w:p>
      <w:pPr>
        <w:pStyle w:val="Heading3"/>
        <w:spacing w:after="80" w:before="200"/>
      </w:pPr>
      <w:r>
        <w:rPr>
          <w:rFonts w:ascii="Calibri" w:cs="Calibri" w:eastAsia="Calibri" w:hAnsi="Calibri"/>
          <w:b/>
          <w:bCs/>
          <w:color w:val="1A4A50"/>
          <w:sz w:val="24"/>
          <w:szCs w:val="24"/>
        </w:rPr>
        <w:t xml:space="preserve">Heuristics that are rules here</w:t>
      </w:r>
    </w:p>
    <w:p>
      <w:pPr>
        <w:pStyle w:val="ListParagraph"/>
        <w:numPr>
          <w:ilvl w:val="0"/>
          <w:numId w:val="2"/>
        </w:numPr>
        <w:spacing w:after="80" w:line="260"/>
      </w:pPr>
      <w:r>
        <w:rPr>
          <w:rFonts w:ascii="Calibri" w:cs="Calibri" w:eastAsia="Calibri" w:hAnsi="Calibri"/>
          <w:color w:val="1C1C1C"/>
          <w:sz w:val="21"/>
          <w:szCs w:val="21"/>
        </w:rPr>
        <w:t xml:space="preserve">Replace “align” with an artifact: spec, contract, budget, SLA, dataset.</w:t>
      </w:r>
    </w:p>
    <w:p>
      <w:pPr>
        <w:pStyle w:val="ListParagraph"/>
        <w:numPr>
          <w:ilvl w:val="0"/>
          <w:numId w:val="2"/>
        </w:numPr>
        <w:spacing w:after="80" w:line="260"/>
      </w:pPr>
      <w:r>
        <w:rPr>
          <w:rFonts w:ascii="Calibri" w:cs="Calibri" w:eastAsia="Calibri" w:hAnsi="Calibri"/>
          <w:color w:val="1C1C1C"/>
          <w:sz w:val="21"/>
          <w:szCs w:val="21"/>
        </w:rPr>
        <w:t xml:space="preserve">Replace “collaborate” with a binding: forum, cadence, quorum, threshold.</w:t>
      </w:r>
    </w:p>
    <w:p>
      <w:pPr>
        <w:pStyle w:val="ListParagraph"/>
        <w:numPr>
          <w:ilvl w:val="0"/>
          <w:numId w:val="2"/>
        </w:numPr>
        <w:spacing w:after="80" w:line="260"/>
      </w:pPr>
      <w:r>
        <w:rPr>
          <w:rFonts w:ascii="Calibri" w:cs="Calibri" w:eastAsia="Calibri" w:hAnsi="Calibri"/>
          <w:color w:val="1C1C1C"/>
          <w:sz w:val="21"/>
          <w:szCs w:val="21"/>
        </w:rPr>
        <w:t xml:space="preserve">If a plan depends on hope, add a trigger, a kill-switch, or a rollback.</w:t>
      </w:r>
    </w:p>
    <w:p>
      <w:pPr>
        <w:pStyle w:val="ListParagraph"/>
        <w:numPr>
          <w:ilvl w:val="0"/>
          <w:numId w:val="2"/>
        </w:numPr>
        <w:spacing w:after="80" w:line="260"/>
      </w:pPr>
      <w:r>
        <w:rPr>
          <w:rFonts w:ascii="Calibri" w:cs="Calibri" w:eastAsia="Calibri" w:hAnsi="Calibri"/>
          <w:color w:val="1C1C1C"/>
          <w:sz w:val="21"/>
          <w:szCs w:val="21"/>
        </w:rPr>
        <w:t xml:space="preserve">Name the compliance–accuracy tradeoff before an agentic tool ships.</w:t>
      </w:r>
    </w:p>
    <w:p>
      <w:pPr>
        <w:pStyle w:val="Heading3"/>
        <w:spacing w:after="80" w:before="200"/>
      </w:pPr>
      <w:r>
        <w:rPr>
          <w:rFonts w:ascii="Calibri" w:cs="Calibri" w:eastAsia="Calibri" w:hAnsi="Calibri"/>
          <w:b/>
          <w:bCs/>
          <w:color w:val="1A4A50"/>
          <w:sz w:val="24"/>
          <w:szCs w:val="24"/>
        </w:rPr>
        <w:t xml:space="preserve">L0 invariants (non-negotiable)</w:t>
      </w:r>
    </w:p>
    <w:p>
      <w:pPr>
        <w:pStyle w:val="ListParagraph"/>
        <w:numPr>
          <w:ilvl w:val="0"/>
          <w:numId w:val="2"/>
        </w:numPr>
        <w:spacing w:after="80" w:line="260"/>
      </w:pPr>
      <w:r>
        <w:rPr>
          <w:rFonts w:ascii="Calibri" w:cs="Calibri" w:eastAsia="Calibri" w:hAnsi="Calibri"/>
          <w:color w:val="1C1C1C"/>
          <w:sz w:val="21"/>
          <w:szCs w:val="21"/>
        </w:rPr>
        <w:t xml:space="preserve">No member profit distribution.</w:t>
      </w:r>
    </w:p>
    <w:p>
      <w:pPr>
        <w:pStyle w:val="ListParagraph"/>
        <w:numPr>
          <w:ilvl w:val="0"/>
          <w:numId w:val="2"/>
        </w:numPr>
        <w:spacing w:after="80" w:line="260"/>
      </w:pPr>
      <w:r>
        <w:rPr>
          <w:rFonts w:ascii="Calibri" w:cs="Calibri" w:eastAsia="Calibri" w:hAnsi="Calibri"/>
          <w:color w:val="1C1C1C"/>
          <w:sz w:val="21"/>
          <w:szCs w:val="21"/>
        </w:rPr>
        <w:t xml:space="preserve">No node may place cameras in a declared privacy zone.</w:t>
      </w:r>
    </w:p>
    <w:p>
      <w:pPr>
        <w:pStyle w:val="ListParagraph"/>
        <w:numPr>
          <w:ilvl w:val="0"/>
          <w:numId w:val="2"/>
        </w:numPr>
        <w:spacing w:after="80" w:line="260"/>
      </w:pPr>
      <w:r>
        <w:rPr>
          <w:rFonts w:ascii="Calibri" w:cs="Calibri" w:eastAsia="Calibri" w:hAnsi="Calibri"/>
          <w:color w:val="1C1C1C"/>
          <w:sz w:val="21"/>
          <w:szCs w:val="21"/>
        </w:rPr>
        <w:t xml:space="preserve">No membership list used for a purpose unrelated to membership.</w:t>
      </w:r>
    </w:p>
    <w:p>
      <w:pPr>
        <w:pStyle w:val="ListParagraph"/>
        <w:numPr>
          <w:ilvl w:val="0"/>
          <w:numId w:val="2"/>
        </w:numPr>
        <w:spacing w:after="80" w:line="260"/>
      </w:pPr>
      <w:r>
        <w:rPr>
          <w:rFonts w:ascii="Calibri" w:cs="Calibri" w:eastAsia="Calibri" w:hAnsi="Calibri"/>
          <w:color w:val="1C1C1C"/>
          <w:sz w:val="21"/>
          <w:szCs w:val="21"/>
        </w:rPr>
        <w:t xml:space="preserve">No administrator binds the association beyond written authority.</w:t>
      </w:r>
    </w:p>
    <w:p>
      <w:pPr>
        <w:pStyle w:val="ListParagraph"/>
        <w:numPr>
          <w:ilvl w:val="0"/>
          <w:numId w:val="2"/>
        </w:numPr>
        <w:spacing w:after="80" w:line="260"/>
      </w:pPr>
      <w:r>
        <w:rPr>
          <w:rFonts w:ascii="Calibri" w:cs="Calibri" w:eastAsia="Calibri" w:hAnsi="Calibri"/>
          <w:color w:val="1C1C1C"/>
          <w:sz w:val="21"/>
          <w:szCs w:val="21"/>
        </w:rPr>
        <w:t xml:space="preserve">No Phase Mirror managed service is offered by a third party without commercial license.</w:t>
      </w:r>
    </w:p>
    <w:p>
      <w:pPr>
        <w:pStyle w:val="ListParagraph"/>
        <w:numPr>
          <w:ilvl w:val="0"/>
          <w:numId w:val="2"/>
        </w:numPr>
        <w:spacing w:after="80" w:line="260"/>
      </w:pPr>
      <w:r>
        <w:rPr>
          <w:rFonts w:ascii="Calibri" w:cs="Calibri" w:eastAsia="Calibri" w:hAnsi="Calibri"/>
          <w:color w:val="1C1C1C"/>
          <w:sz w:val="21"/>
          <w:szCs w:val="21"/>
        </w:rPr>
        <w:t xml:space="preserve">Youth membership requires confirmed guardian consent.</w:t>
      </w:r>
    </w:p>
    <w:p>
      <w:pPr>
        <w:pStyle w:val="ListParagraph"/>
        <w:numPr>
          <w:ilvl w:val="0"/>
          <w:numId w:val="2"/>
        </w:numPr>
        <w:spacing w:after="80" w:line="260"/>
      </w:pPr>
      <w:r>
        <w:rPr>
          <w:rFonts w:ascii="Calibri" w:cs="Calibri" w:eastAsia="Calibri" w:hAnsi="Calibri"/>
          <w:color w:val="1C1C1C"/>
          <w:sz w:val="21"/>
          <w:szCs w:val="21"/>
        </w:rPr>
        <w:t xml:space="preserve">Consent is withdrawable. Withdrawal is logged, not argued.</w:t>
      </w:r>
    </w:p>
    <w:p>
      <w:pPr>
        <w:pStyle w:val="Heading2"/>
        <w:spacing w:after="120" w:before="280"/>
      </w:pPr>
      <w:r>
        <w:rPr>
          <w:rFonts w:ascii="Calibri" w:cs="Calibri" w:eastAsia="Calibri" w:hAnsi="Calibri"/>
          <w:b/>
          <w:bCs/>
          <w:color w:val="0D5C63"/>
          <w:sz w:val="26"/>
          <w:szCs w:val="26"/>
        </w:rPr>
        <w:t xml:space="preserve">3.5 Multiplicity Social Physics — how value is counted</w:t>
      </w:r>
    </w:p>
    <w:p>
      <w:pPr>
        <w:spacing w:after="160" w:before="0" w:line="276"/>
        <w:jc w:val="left"/>
      </w:pPr>
      <w:r>
        <w:rPr>
          <w:rFonts w:ascii="Calibri" w:cs="Calibri" w:eastAsia="Calibri" w:hAnsi="Calibri"/>
          <w:b w:val="false"/>
          <w:bCs w:val="false"/>
          <w:i w:val="false"/>
          <w:iCs w:val="false"/>
          <w:color w:val="1C1C1C"/>
          <w:sz w:val="22"/>
          <w:szCs w:val="22"/>
        </w:rPr>
        <w:t xml:space="preserve">Multiplicity is the count of reciprocity, not a slogan. In the association’s working formula, unpaired presence is a singlet. A paired act of reciprocity is a doublet. Mutual giving and receiving is counted twice because both sides generated social energy.</w:t>
      </w:r>
    </w:p>
    <w:p>
      <w:pPr>
        <w:spacing w:after="160" w:before="0" w:line="276"/>
        <w:jc w:val="left"/>
      </w:pPr>
      <w:r>
        <w:rPr>
          <w:rFonts w:ascii="Calibri" w:cs="Calibri" w:eastAsia="Calibri" w:hAnsi="Calibri"/>
          <w:b w:val="false"/>
          <w:bCs w:val="false"/>
          <w:i w:val="false"/>
          <w:iCs w:val="false"/>
          <w:color w:val="1C1C1C"/>
          <w:sz w:val="22"/>
          <w:szCs w:val="22"/>
        </w:rPr>
        <w:t xml:space="preserve">Economy League Multiplicity (ELM) credits are internal recognition, not legal tender and not securities.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40"/>
        <w:gridCol w:w="3440"/>
      </w:tblGrid>
      <w:tr>
        <w:trPr>
          <w:tblHeader/>
        </w:trPr>
        <w:tc>
          <w:tcPr>
            <w:tcW w:type="dxa" w:w="22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Credit</w:t>
            </w:r>
          </w:p>
        </w:tc>
        <w:tc>
          <w:tcPr>
            <w:tcW w:type="dxa" w:w="444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Earned by</w:t>
            </w:r>
          </w:p>
        </w:tc>
        <w:tc>
          <w:tcPr>
            <w:tcW w:type="dxa" w:w="344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Properties</w:t>
            </w:r>
          </w:p>
        </w:tc>
      </w:tr>
      <w:tr>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Ingenuity</w:t>
            </w:r>
          </w:p>
        </w:tc>
        <w:tc>
          <w:tcPr>
            <w:tcW w:type="dxa" w:w="44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Implemented improvement; delta in productivity or care</w:t>
            </w:r>
          </w:p>
        </w:tc>
        <w:tc>
          <w:tcPr>
            <w:tcW w:type="dxa" w:w="34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Transferable inside the association</w:t>
            </w:r>
          </w:p>
        </w:tc>
      </w:tr>
      <w:tr>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Opportunity</w:t>
            </w:r>
          </w:p>
        </w:tc>
        <w:tc>
          <w:tcPr>
            <w:tcW w:type="dxa" w:w="44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Time and skilled service in a node</w:t>
            </w:r>
          </w:p>
        </w:tc>
        <w:tc>
          <w:tcPr>
            <w:tcW w:type="dxa" w:w="34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Transferable; typically weekly</w:t>
            </w:r>
          </w:p>
        </w:tc>
      </w:tr>
      <w:tr>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Designation</w:t>
            </w:r>
          </w:p>
        </w:tc>
        <w:tc>
          <w:tcPr>
            <w:tcW w:type="dxa" w:w="44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Stewardship of land, space, or IP under member + association approval</w:t>
            </w:r>
          </w:p>
        </w:tc>
        <w:tc>
          <w:tcPr>
            <w:tcW w:type="dxa" w:w="34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Transferable; monthly</w:t>
            </w:r>
          </w:p>
        </w:tc>
      </w:tr>
      <w:tr>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Sponsorship</w:t>
            </w:r>
          </w:p>
        </w:tc>
        <w:tc>
          <w:tcPr>
            <w:tcW w:type="dxa" w:w="44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Monetary gift valued above face under multiplicity exchange</w:t>
            </w:r>
          </w:p>
        </w:tc>
        <w:tc>
          <w:tcPr>
            <w:tcW w:type="dxa" w:w="34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Exchangeable per §6 caps; not a dividend</w:t>
            </w:r>
          </w:p>
        </w:tc>
      </w:tr>
      <w:tr>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Sharing / referral</w:t>
            </w:r>
          </w:p>
        </w:tc>
        <w:tc>
          <w:tcPr>
            <w:tcW w:type="dxa" w:w="44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Bringing new members who stay active</w:t>
            </w:r>
          </w:p>
        </w:tc>
        <w:tc>
          <w:tcPr>
            <w:tcW w:type="dxa" w:w="344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Non-exchangeable; annual</w:t>
            </w:r>
          </w:p>
        </w:tc>
      </w:tr>
      <w:tr>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Intrinsic</w:t>
            </w:r>
          </w:p>
        </w:tc>
        <w:tc>
          <w:tcPr>
            <w:tcW w:type="dxa" w:w="44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Trust, conduct, audit integrity</w:t>
            </w:r>
          </w:p>
        </w:tc>
        <w:tc>
          <w:tcPr>
            <w:tcW w:type="dxa" w:w="344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Non-exchangeable; reputation only</w:t>
            </w:r>
          </w:p>
        </w:tc>
      </w:tr>
    </w:tbl>
    <w:p>
      <w:pPr>
        <w:spacing w:after="120"/>
      </w:pPr>
    </w:p>
    <w:p>
      <w:pPr>
        <w:spacing w:after="160" w:before="0" w:line="276"/>
        <w:jc w:val="left"/>
      </w:pPr>
      <w:r>
        <w:rPr>
          <w:rFonts w:ascii="Calibri" w:cs="Calibri" w:eastAsia="Calibri" w:hAnsi="Calibri"/>
          <w:b w:val="false"/>
          <w:bCs w:val="false"/>
          <w:i w:val="false"/>
          <w:iCs w:val="false"/>
          <w:color w:val="1C1C1C"/>
          <w:sz w:val="22"/>
          <w:szCs w:val="22"/>
        </w:rPr>
        <w:t xml:space="preserve">Greenhouse staking: members may stake credits or designated assets to a node project. The return is a living dividend—produce, access, service—not financial interest.</w:t>
      </w:r>
    </w:p>
    <w:p>
      <w:pPr>
        <w:spacing w:after="160" w:before="0" w:line="276"/>
        <w:jc w:val="left"/>
      </w:pPr>
      <w:r>
        <w:rPr>
          <w:rFonts w:ascii="Calibri" w:cs="Calibri" w:eastAsia="Calibri" w:hAnsi="Calibri"/>
          <w:b w:val="false"/>
          <w:bCs w:val="false"/>
          <w:i w:val="false"/>
          <w:iCs w:val="false"/>
          <w:color w:val="1C1C1C"/>
          <w:sz w:val="22"/>
          <w:szCs w:val="22"/>
        </w:rPr>
        <w:t xml:space="preserve">Formula reminder for operators: treat S = Σ m_s as a bookkeeping lens, not a metaphysics that overrides consent or statute.</w:t>
      </w:r>
    </w:p>
    <w:p>
      <w:pPr>
        <w:pStyle w:val="Heading1"/>
        <w:pBdr>
          <w:bottom w:val="single" w:color="0D5C63" w:sz="12" w:space="4"/>
        </w:pBdr>
        <w:spacing w:after="160" w:before="360"/>
      </w:pPr>
      <w:r>
        <w:rPr>
          <w:rFonts w:ascii="Calibri" w:cs="Calibri" w:eastAsia="Calibri" w:hAnsi="Calibri"/>
          <w:b/>
          <w:bCs/>
          <w:color w:val="0D5C63"/>
          <w:sz w:val="32"/>
          <w:szCs w:val="32"/>
        </w:rPr>
        <w:t xml:space="preserve">4. Membership</w:t>
      </w:r>
    </w:p>
    <w:p>
      <w:pPr>
        <w:pStyle w:val="Heading2"/>
        <w:spacing w:after="120" w:before="280"/>
      </w:pPr>
      <w:r>
        <w:rPr>
          <w:rFonts w:ascii="Calibri" w:cs="Calibri" w:eastAsia="Calibri" w:hAnsi="Calibri"/>
          <w:b/>
          <w:bCs/>
          <w:color w:val="0D5C63"/>
          <w:sz w:val="26"/>
          <w:szCs w:val="26"/>
        </w:rPr>
        <w:t xml:space="preserve">4.1 How a person becomes a member</w:t>
      </w:r>
    </w:p>
    <w:p>
      <w:pPr>
        <w:spacing w:after="160" w:before="0" w:line="276"/>
        <w:jc w:val="left"/>
      </w:pPr>
      <w:r>
        <w:rPr>
          <w:rFonts w:ascii="Calibri" w:cs="Calibri" w:eastAsia="Calibri" w:hAnsi="Calibri"/>
          <w:b w:val="false"/>
          <w:bCs w:val="false"/>
          <w:i w:val="false"/>
          <w:iCs w:val="false"/>
          <w:color w:val="1C1C1C"/>
          <w:sz w:val="22"/>
          <w:szCs w:val="22"/>
        </w:rPr>
        <w:t xml:space="preserve">A person becomes a member by mutual consent under these principles: registration, qualification for a class, and acceptance recorded in the membership register. If a digital membership instrument is later issued, it confers voting only as these principles state. Holding a token without register entry does not create membership until the register says so.</w:t>
      </w:r>
    </w:p>
    <w:p>
      <w:pPr>
        <w:pStyle w:val="Heading2"/>
        <w:spacing w:after="120" w:before="280"/>
      </w:pPr>
      <w:r>
        <w:rPr>
          <w:rFonts w:ascii="Calibri" w:cs="Calibri" w:eastAsia="Calibri" w:hAnsi="Calibri"/>
          <w:b/>
          <w:bCs/>
          <w:color w:val="0D5C63"/>
          <w:sz w:val="26"/>
          <w:szCs w:val="26"/>
        </w:rPr>
        <w:t xml:space="preserve">4.2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680"/>
      </w:tblGrid>
      <w:tr>
        <w:trPr>
          <w:tblHeader/>
        </w:trPr>
        <w:tc>
          <w:tcPr>
            <w:tcW w:type="dxa" w:w="24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Class</w:t>
            </w:r>
          </w:p>
        </w:tc>
        <w:tc>
          <w:tcPr>
            <w:tcW w:type="dxa" w:w="50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Who</w:t>
            </w:r>
          </w:p>
        </w:tc>
        <w:tc>
          <w:tcPr>
            <w:tcW w:type="dxa" w:w="268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Vote</w:t>
            </w:r>
          </w:p>
        </w:tc>
      </w:tr>
      <w:tr>
        <w:tc>
          <w:tcPr>
            <w:tcW w:type="dxa" w:w="24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Youth</w:t>
            </w:r>
          </w:p>
        </w:tc>
        <w:tc>
          <w:tcPr>
            <w:tcW w:type="dxa" w:w="50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Under 18 with guardian consent; educational track</w:t>
            </w:r>
          </w:p>
        </w:tc>
        <w:tc>
          <w:tcPr>
            <w:tcW w:type="dxa" w:w="26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 corporate vote; voice in youth assemblies</w:t>
            </w:r>
          </w:p>
        </w:tc>
      </w:tr>
      <w:tr>
        <w:tc>
          <w:tcPr>
            <w:tcW w:type="dxa" w:w="24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Associate</w:t>
            </w:r>
          </w:p>
        </w:tc>
        <w:tc>
          <w:tcPr>
            <w:tcW w:type="dxa" w:w="50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Operators who give time to a node or department</w:t>
            </w:r>
          </w:p>
        </w:tc>
        <w:tc>
          <w:tcPr>
            <w:tcW w:type="dxa" w:w="26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Yes, if 18+ and in good standing</w:t>
            </w:r>
          </w:p>
        </w:tc>
      </w:tr>
      <w:tr>
        <w:tc>
          <w:tcPr>
            <w:tcW w:type="dxa" w:w="24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Affiliate</w:t>
            </w:r>
          </w:p>
        </w:tc>
        <w:tc>
          <w:tcPr>
            <w:tcW w:type="dxa" w:w="50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Designators of land, facilities, or IP</w:t>
            </w:r>
          </w:p>
        </w:tc>
        <w:tc>
          <w:tcPr>
            <w:tcW w:type="dxa" w:w="26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Yes, if 18+ and designation is active</w:t>
            </w:r>
          </w:p>
        </w:tc>
      </w:tr>
      <w:tr>
        <w:tc>
          <w:tcPr>
            <w:tcW w:type="dxa" w:w="24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Sponsor</w:t>
            </w:r>
          </w:p>
        </w:tc>
        <w:tc>
          <w:tcPr>
            <w:tcW w:type="dxa" w:w="50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Regular monetary supporters receiving member services</w:t>
            </w:r>
          </w:p>
        </w:tc>
        <w:tc>
          <w:tcPr>
            <w:tcW w:type="dxa" w:w="26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Yes on sponsor-class items; one member one vote on association-wide items</w:t>
            </w:r>
          </w:p>
        </w:tc>
      </w:tr>
      <w:tr>
        <w:tc>
          <w:tcPr>
            <w:tcW w:type="dxa" w:w="24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Friend of the Garden</w:t>
            </w:r>
          </w:p>
        </w:tc>
        <w:tc>
          <w:tcPr>
            <w:tcW w:type="dxa" w:w="50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Public participants without register rights</w:t>
            </w:r>
          </w:p>
        </w:tc>
        <w:tc>
          <w:tcPr>
            <w:tcW w:type="dxa" w:w="26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w:t>
            </w:r>
          </w:p>
        </w:tc>
      </w:tr>
    </w:tbl>
    <w:p>
      <w:pPr>
        <w:spacing w:after="120"/>
      </w:pPr>
    </w:p>
    <w:p>
      <w:pPr>
        <w:spacing w:after="160" w:before="0" w:line="276"/>
        <w:jc w:val="left"/>
      </w:pPr>
      <w:r>
        <w:rPr>
          <w:rFonts w:ascii="Calibri" w:cs="Calibri" w:eastAsia="Calibri" w:hAnsi="Calibri"/>
          <w:b w:val="false"/>
          <w:bCs w:val="false"/>
          <w:i w:val="false"/>
          <w:iCs w:val="false"/>
          <w:color w:val="1C1C1C"/>
          <w:sz w:val="22"/>
          <w:szCs w:val="22"/>
        </w:rPr>
        <w:t xml:space="preserve">No discrimination on age (except youth safeguards), gender, race, religion, location, culture, belief, or financial orientation. Intention to harm a person in body, mind, or dignity is disqualifying.</w:t>
      </w:r>
    </w:p>
    <w:p>
      <w:pPr>
        <w:spacing w:after="160" w:before="0" w:line="276"/>
        <w:jc w:val="left"/>
      </w:pPr>
      <w:r>
        <w:rPr>
          <w:rFonts w:ascii="Calibri" w:cs="Calibri" w:eastAsia="Calibri" w:hAnsi="Calibri"/>
          <w:b w:val="false"/>
          <w:bCs w:val="false"/>
          <w:i w:val="false"/>
          <w:iCs w:val="false"/>
          <w:color w:val="1C1C1C"/>
          <w:sz w:val="22"/>
          <w:szCs w:val="22"/>
        </w:rPr>
        <w:t xml:space="preserve">Justice-impacted applicants may join where lawful. Membership may be tailored. The Criminal Justice pathway is a service, not a stigma class.</w:t>
      </w:r>
    </w:p>
    <w:p>
      <w:pPr>
        <w:pStyle w:val="Heading2"/>
        <w:spacing w:after="120" w:before="280"/>
      </w:pPr>
      <w:r>
        <w:rPr>
          <w:rFonts w:ascii="Calibri" w:cs="Calibri" w:eastAsia="Calibri" w:hAnsi="Calibri"/>
          <w:b/>
          <w:bCs/>
          <w:color w:val="0D5C63"/>
          <w:sz w:val="26"/>
          <w:szCs w:val="26"/>
        </w:rPr>
        <w:t xml:space="preserve">4.3 One member, one vote</w:t>
      </w:r>
    </w:p>
    <w:p>
      <w:pPr>
        <w:spacing w:after="160" w:before="0" w:line="276"/>
        <w:jc w:val="left"/>
      </w:pPr>
      <w:r>
        <w:rPr>
          <w:rFonts w:ascii="Calibri" w:cs="Calibri" w:eastAsia="Calibri" w:hAnsi="Calibri"/>
          <w:b w:val="false"/>
          <w:bCs w:val="false"/>
          <w:i w:val="false"/>
          <w:iCs w:val="false"/>
          <w:color w:val="1C1C1C"/>
          <w:sz w:val="22"/>
          <w:szCs w:val="22"/>
        </w:rPr>
        <w:t xml:space="preserve">Association-wide votes are 1 member = 1 vote. Credits do not buy votes. Tokens do not overweight votes. This is the credit-union logic inside a DUNA.</w:t>
      </w:r>
    </w:p>
    <w:p>
      <w:pPr>
        <w:pStyle w:val="Heading2"/>
        <w:spacing w:after="120" w:before="280"/>
      </w:pPr>
      <w:r>
        <w:rPr>
          <w:rFonts w:ascii="Calibri" w:cs="Calibri" w:eastAsia="Calibri" w:hAnsi="Calibri"/>
          <w:b/>
          <w:bCs/>
          <w:color w:val="0D5C63"/>
          <w:sz w:val="26"/>
          <w:szCs w:val="26"/>
        </w:rPr>
        <w:t xml:space="preserve">4.4 No agency, no personal debts of the association</w:t>
      </w:r>
    </w:p>
    <w:p>
      <w:pPr>
        <w:spacing w:after="160" w:before="0" w:line="276"/>
        <w:jc w:val="left"/>
      </w:pPr>
      <w:r>
        <w:rPr>
          <w:rFonts w:ascii="Calibri" w:cs="Calibri" w:eastAsia="Calibri" w:hAnsi="Calibri"/>
          <w:b w:val="false"/>
          <w:bCs w:val="false"/>
          <w:i w:val="false"/>
          <w:iCs w:val="false"/>
          <w:color w:val="1C1C1C"/>
          <w:sz w:val="22"/>
          <w:szCs w:val="22"/>
        </w:rPr>
        <w:t xml:space="preserve">A member is not personally liable for association debts by reason of membership. A member who acts outside these principles or outside law may be personally responsible for that act. Membership is not a license to bind the treasury.</w:t>
      </w:r>
    </w:p>
    <w:p>
      <w:pPr>
        <w:pStyle w:val="Heading2"/>
        <w:spacing w:after="120" w:before="280"/>
      </w:pPr>
      <w:r>
        <w:rPr>
          <w:rFonts w:ascii="Calibri" w:cs="Calibri" w:eastAsia="Calibri" w:hAnsi="Calibri"/>
          <w:b/>
          <w:bCs/>
          <w:color w:val="0D5C63"/>
          <w:sz w:val="26"/>
          <w:szCs w:val="26"/>
        </w:rPr>
        <w:t xml:space="preserve">4.5 Transfer, resignation, expulsion</w:t>
      </w:r>
    </w:p>
    <w:p>
      <w:pPr>
        <w:pStyle w:val="ListParagraph"/>
        <w:numPr>
          <w:ilvl w:val="0"/>
          <w:numId w:val="2"/>
        </w:numPr>
        <w:spacing w:after="80" w:line="260"/>
      </w:pPr>
      <w:r>
        <w:rPr>
          <w:rFonts w:ascii="Calibri" w:cs="Calibri" w:eastAsia="Calibri" w:hAnsi="Calibri"/>
          <w:color w:val="1C1C1C"/>
          <w:sz w:val="21"/>
          <w:szCs w:val="21"/>
        </w:rPr>
        <w:t xml:space="preserve">Membership itself is not a transferable commodity. Credits that these principles mark transferable may move. The seat does not.</w:t>
      </w:r>
    </w:p>
    <w:p>
      <w:pPr>
        <w:pStyle w:val="ListParagraph"/>
        <w:numPr>
          <w:ilvl w:val="0"/>
          <w:numId w:val="2"/>
        </w:numPr>
        <w:spacing w:after="80" w:line="260"/>
      </w:pPr>
      <w:r>
        <w:rPr>
          <w:rFonts w:ascii="Calibri" w:cs="Calibri" w:eastAsia="Calibri" w:hAnsi="Calibri"/>
          <w:color w:val="1C1C1C"/>
          <w:sz w:val="21"/>
          <w:szCs w:val="21"/>
        </w:rPr>
        <w:t xml:space="preserve">A member may resign by notice to the records administrator. Resignation is effective on receipt unless a later date is stated.</w:t>
      </w:r>
    </w:p>
    <w:p>
      <w:pPr>
        <w:pStyle w:val="ListParagraph"/>
        <w:numPr>
          <w:ilvl w:val="0"/>
          <w:numId w:val="2"/>
        </w:numPr>
        <w:spacing w:after="80" w:line="260"/>
      </w:pPr>
      <w:r>
        <w:rPr>
          <w:rFonts w:ascii="Calibri" w:cs="Calibri" w:eastAsia="Calibri" w:hAnsi="Calibri"/>
          <w:color w:val="1C1C1C"/>
          <w:sz w:val="21"/>
          <w:szCs w:val="21"/>
        </w:rPr>
        <w:t xml:space="preserve">Suspension, dismissal, or expulsion follows written notice, stated reasons, and a hearing not less than five days before the effective date, with at least fifteen days’ notice. Decision is by the process in §7. Credits earned remain subject to §6.</w:t>
      </w:r>
    </w:p>
    <w:p>
      <w:pPr>
        <w:pStyle w:val="ListParagraph"/>
        <w:numPr>
          <w:ilvl w:val="0"/>
          <w:numId w:val="2"/>
        </w:numPr>
        <w:spacing w:after="80" w:line="260"/>
      </w:pPr>
      <w:r>
        <w:rPr>
          <w:rFonts w:ascii="Calibri" w:cs="Calibri" w:eastAsia="Calibri" w:hAnsi="Calibri"/>
          <w:color w:val="1C1C1C"/>
          <w:sz w:val="21"/>
          <w:szCs w:val="21"/>
        </w:rPr>
        <w:t xml:space="preserve">Default statutory majority rules apply to forcible expulsion of members or administrators unless a higher threshold is set in §7.</w:t>
      </w:r>
    </w:p>
    <w:p>
      <w:pPr>
        <w:pStyle w:val="Heading2"/>
        <w:spacing w:after="120" w:before="280"/>
      </w:pPr>
      <w:r>
        <w:rPr>
          <w:rFonts w:ascii="Calibri" w:cs="Calibri" w:eastAsia="Calibri" w:hAnsi="Calibri"/>
          <w:b/>
          <w:bCs/>
          <w:color w:val="0D5C63"/>
          <w:sz w:val="26"/>
          <w:szCs w:val="26"/>
        </w:rPr>
        <w:t xml:space="preserve">4.6 The 100-member floor</w:t>
      </w:r>
    </w:p>
    <w:p>
      <w:pPr>
        <w:spacing w:after="160" w:before="0" w:line="276"/>
        <w:jc w:val="left"/>
      </w:pPr>
      <w:r>
        <w:rPr>
          <w:rFonts w:ascii="Calibri" w:cs="Calibri" w:eastAsia="Calibri" w:hAnsi="Calibri"/>
          <w:b w:val="false"/>
          <w:bCs w:val="false"/>
          <w:i w:val="false"/>
          <w:iCs w:val="false"/>
          <w:color w:val="1C1C1C"/>
          <w:sz w:val="22"/>
          <w:szCs w:val="22"/>
        </w:rPr>
        <w:t xml:space="preserve">Until the register holds 100 members, Citizen Gardens operates as a Wyoming UNA with these same principles. Administrators shall publish a monthly count. Falling below 100 after DUNA status converts the association to UNA under statute until the floor is restored. No one pretends the floor is optional.</w:t>
      </w:r>
    </w:p>
    <w:p>
      <w:pPr>
        <w:pStyle w:val="Heading1"/>
        <w:pBdr>
          <w:bottom w:val="single" w:color="0D5C63" w:sz="12" w:space="4"/>
        </w:pBdr>
        <w:spacing w:after="160" w:before="360"/>
      </w:pPr>
      <w:r>
        <w:rPr>
          <w:rFonts w:ascii="Calibri" w:cs="Calibri" w:eastAsia="Calibri" w:hAnsi="Calibri"/>
          <w:b/>
          <w:bCs/>
          <w:color w:val="0D5C63"/>
          <w:sz w:val="32"/>
          <w:szCs w:val="32"/>
        </w:rPr>
        <w:t xml:space="preserve">5. Sovereignty Nodes (Buurtzorg cells)</w:t>
      </w:r>
    </w:p>
    <w:p>
      <w:pPr>
        <w:pStyle w:val="Heading2"/>
        <w:spacing w:after="120" w:before="280"/>
      </w:pPr>
      <w:r>
        <w:rPr>
          <w:rFonts w:ascii="Calibri" w:cs="Calibri" w:eastAsia="Calibri" w:hAnsi="Calibri"/>
          <w:b/>
          <w:bCs/>
          <w:color w:val="0D5C63"/>
          <w:sz w:val="26"/>
          <w:szCs w:val="26"/>
        </w:rPr>
        <w:t xml:space="preserve">5.1 Definition</w:t>
      </w:r>
    </w:p>
    <w:p>
      <w:pPr>
        <w:spacing w:after="160" w:before="0" w:line="276"/>
        <w:jc w:val="left"/>
      </w:pPr>
      <w:r>
        <w:rPr>
          <w:rFonts w:ascii="Calibri" w:cs="Calibri" w:eastAsia="Calibri" w:hAnsi="Calibri"/>
          <w:b w:val="false"/>
          <w:bCs w:val="false"/>
          <w:i w:val="false"/>
          <w:iCs w:val="false"/>
          <w:color w:val="1C1C1C"/>
          <w:sz w:val="22"/>
          <w:szCs w:val="22"/>
        </w:rPr>
        <w:t xml:space="preserve">A Sovereignty Node is a self-managing team of not more than twelve active operators serving a defined place or function. The node is the basic unit of work. The association is a federation of nodes plus a thin commons.</w:t>
      </w:r>
    </w:p>
    <w:p>
      <w:pPr>
        <w:pStyle w:val="Heading2"/>
        <w:spacing w:after="120" w:before="280"/>
      </w:pPr>
      <w:r>
        <w:rPr>
          <w:rFonts w:ascii="Calibri" w:cs="Calibri" w:eastAsia="Calibri" w:hAnsi="Calibri"/>
          <w:b/>
          <w:bCs/>
          <w:color w:val="0D5C63"/>
          <w:sz w:val="26"/>
          <w:szCs w:val="26"/>
        </w:rPr>
        <w:t xml:space="preserve">5.2 What a node owns</w:t>
      </w:r>
    </w:p>
    <w:p>
      <w:pPr>
        <w:pStyle w:val="ListParagraph"/>
        <w:numPr>
          <w:ilvl w:val="0"/>
          <w:numId w:val="2"/>
        </w:numPr>
        <w:spacing w:after="80" w:line="260"/>
      </w:pPr>
      <w:r>
        <w:rPr>
          <w:rFonts w:ascii="Calibri" w:cs="Calibri" w:eastAsia="Calibri" w:hAnsi="Calibri"/>
          <w:color w:val="1C1C1C"/>
          <w:sz w:val="21"/>
          <w:szCs w:val="21"/>
        </w:rPr>
        <w:t xml:space="preserve">Local intake and who is served.</w:t>
      </w:r>
    </w:p>
    <w:p>
      <w:pPr>
        <w:pStyle w:val="ListParagraph"/>
        <w:numPr>
          <w:ilvl w:val="0"/>
          <w:numId w:val="2"/>
        </w:numPr>
        <w:spacing w:after="80" w:line="260"/>
      </w:pPr>
      <w:r>
        <w:rPr>
          <w:rFonts w:ascii="Calibri" w:cs="Calibri" w:eastAsia="Calibri" w:hAnsi="Calibri"/>
          <w:color w:val="1C1C1C"/>
          <w:sz w:val="21"/>
          <w:szCs w:val="21"/>
        </w:rPr>
        <w:t xml:space="preserve">Scheduling and internal roles. There is no node manager title.</w:t>
      </w:r>
    </w:p>
    <w:p>
      <w:pPr>
        <w:pStyle w:val="ListParagraph"/>
        <w:numPr>
          <w:ilvl w:val="0"/>
          <w:numId w:val="2"/>
        </w:numPr>
        <w:spacing w:after="80" w:line="260"/>
      </w:pPr>
      <w:r>
        <w:rPr>
          <w:rFonts w:ascii="Calibri" w:cs="Calibri" w:eastAsia="Calibri" w:hAnsi="Calibri"/>
          <w:color w:val="1C1C1C"/>
          <w:sz w:val="21"/>
          <w:szCs w:val="21"/>
        </w:rPr>
        <w:t xml:space="preserve">Hiring recommendations for new operators, subject to association L0 checks.</w:t>
      </w:r>
    </w:p>
    <w:p>
      <w:pPr>
        <w:pStyle w:val="ListParagraph"/>
        <w:numPr>
          <w:ilvl w:val="0"/>
          <w:numId w:val="2"/>
        </w:numPr>
        <w:spacing w:after="80" w:line="260"/>
      </w:pPr>
      <w:r>
        <w:rPr>
          <w:rFonts w:ascii="Calibri" w:cs="Calibri" w:eastAsia="Calibri" w:hAnsi="Calibri"/>
          <w:color w:val="1C1C1C"/>
          <w:sz w:val="21"/>
          <w:szCs w:val="21"/>
        </w:rPr>
        <w:t xml:space="preserve">Local quality review and a public node metric card.</w:t>
      </w:r>
    </w:p>
    <w:p>
      <w:pPr>
        <w:pStyle w:val="ListParagraph"/>
        <w:numPr>
          <w:ilvl w:val="0"/>
          <w:numId w:val="2"/>
        </w:numPr>
        <w:spacing w:after="80" w:line="260"/>
      </w:pPr>
      <w:r>
        <w:rPr>
          <w:rFonts w:ascii="Calibri" w:cs="Calibri" w:eastAsia="Calibri" w:hAnsi="Calibri"/>
          <w:color w:val="1C1C1C"/>
          <w:sz w:val="21"/>
          <w:szCs w:val="21"/>
        </w:rPr>
        <w:t xml:space="preserve">A local operating budget inside the association treasury envelope.</w:t>
      </w:r>
    </w:p>
    <w:p>
      <w:pPr>
        <w:pStyle w:val="Heading2"/>
        <w:spacing w:after="120" w:before="280"/>
      </w:pPr>
      <w:r>
        <w:rPr>
          <w:rFonts w:ascii="Calibri" w:cs="Calibri" w:eastAsia="Calibri" w:hAnsi="Calibri"/>
          <w:b/>
          <w:bCs/>
          <w:color w:val="0D5C63"/>
          <w:sz w:val="26"/>
          <w:szCs w:val="26"/>
        </w:rPr>
        <w:t xml:space="preserve">5.3 Split rule</w:t>
      </w:r>
    </w:p>
    <w:p>
      <w:pPr>
        <w:spacing w:after="160" w:before="0" w:line="276"/>
        <w:jc w:val="left"/>
      </w:pPr>
      <w:r>
        <w:rPr>
          <w:rFonts w:ascii="Calibri" w:cs="Calibri" w:eastAsia="Calibri" w:hAnsi="Calibri"/>
          <w:b w:val="false"/>
          <w:bCs w:val="false"/>
          <w:i w:val="false"/>
          <w:iCs w:val="false"/>
          <w:color w:val="1C1C1C"/>
          <w:sz w:val="22"/>
          <w:szCs w:val="22"/>
        </w:rPr>
        <w:t xml:space="preserve">When a node stably exceeds twelve active operators, it splits. Geography first, then function. A split is a success condition, not a failure.</w:t>
      </w:r>
    </w:p>
    <w:p>
      <w:pPr>
        <w:pStyle w:val="Heading2"/>
        <w:spacing w:after="120" w:before="280"/>
      </w:pPr>
      <w:r>
        <w:rPr>
          <w:rFonts w:ascii="Calibri" w:cs="Calibri" w:eastAsia="Calibri" w:hAnsi="Calibri"/>
          <w:b/>
          <w:bCs/>
          <w:color w:val="0D5C63"/>
          <w:sz w:val="26"/>
          <w:szCs w:val="26"/>
        </w:rPr>
        <w:t xml:space="preserve">5.4 Coaches and administrators</w:t>
      </w:r>
    </w:p>
    <w:p>
      <w:pPr>
        <w:spacing w:after="160" w:before="0" w:line="276"/>
        <w:jc w:val="left"/>
      </w:pPr>
      <w:r>
        <w:rPr>
          <w:rFonts w:ascii="Calibri" w:cs="Calibri" w:eastAsia="Calibri" w:hAnsi="Calibri"/>
          <w:b w:val="false"/>
          <w:bCs w:val="false"/>
          <w:i w:val="false"/>
          <w:iCs w:val="false"/>
          <w:color w:val="1C1C1C"/>
          <w:sz w:val="22"/>
          <w:szCs w:val="22"/>
        </w:rPr>
        <w:t xml:space="preserve">Coaches help a stuck node run the Phase Mirror loop. They have no command over care-work or garden-work. Administrators keep EIN, banking, service of process, records, and statutory filings. An administrator who begins directing node work has left the role and must be removed or reassigned.</w:t>
      </w:r>
    </w:p>
    <w:p>
      <w:pPr>
        <w:pStyle w:val="Heading2"/>
        <w:spacing w:after="120" w:before="280"/>
      </w:pPr>
      <w:r>
        <w:rPr>
          <w:rFonts w:ascii="Calibri" w:cs="Calibri" w:eastAsia="Calibri" w:hAnsi="Calibri"/>
          <w:b/>
          <w:bCs/>
          <w:color w:val="0D5C63"/>
          <w:sz w:val="26"/>
          <w:szCs w:val="26"/>
        </w:rPr>
        <w:t xml:space="preserve">5.5 Three-way test</w:t>
      </w:r>
    </w:p>
    <w:p>
      <w:pPr>
        <w:spacing w:after="160" w:before="0" w:line="276"/>
        <w:jc w:val="left"/>
      </w:pPr>
      <w:r>
        <w:rPr>
          <w:rFonts w:ascii="Calibri" w:cs="Calibri" w:eastAsia="Calibri" w:hAnsi="Calibri"/>
          <w:b w:val="false"/>
          <w:bCs w:val="false"/>
          <w:i w:val="false"/>
          <w:iCs w:val="false"/>
          <w:color w:val="1C1C1C"/>
          <w:sz w:val="22"/>
          <w:szCs w:val="22"/>
        </w:rPr>
        <w:t xml:space="preserve">A node remains open only while it can show, on a quarterly card: member dignity (retention and consent incidents), community outcome (households, produce, reentry milestones, or R&amp;D artifacts), and solvency (spend within envelope). Fail two consecutive quarters and the node pauses. Pause is not punishment. It is a kill-switch.</w:t>
      </w:r>
    </w:p>
    <w:p>
      <w:pPr>
        <w:pStyle w:val="Heading1"/>
        <w:pBdr>
          <w:bottom w:val="single" w:color="0D5C63" w:sz="12" w:space="4"/>
        </w:pBdr>
        <w:spacing w:after="160" w:before="360"/>
      </w:pPr>
      <w:r>
        <w:rPr>
          <w:rFonts w:ascii="Calibri" w:cs="Calibri" w:eastAsia="Calibri" w:hAnsi="Calibri"/>
          <w:b/>
          <w:bCs/>
          <w:color w:val="0D5C63"/>
          <w:sz w:val="32"/>
          <w:szCs w:val="32"/>
        </w:rPr>
        <w:t xml:space="preserve">6. Treasury, credits, and surplus</w:t>
      </w:r>
    </w:p>
    <w:p>
      <w:pPr>
        <w:pStyle w:val="Heading2"/>
        <w:spacing w:after="120" w:before="280"/>
      </w:pPr>
      <w:r>
        <w:rPr>
          <w:rFonts w:ascii="Calibri" w:cs="Calibri" w:eastAsia="Calibri" w:hAnsi="Calibri"/>
          <w:b/>
          <w:bCs/>
          <w:color w:val="0D5C63"/>
          <w:sz w:val="26"/>
          <w:szCs w:val="26"/>
        </w:rPr>
        <w:t xml:space="preserve">6.1 Treasury</w:t>
      </w:r>
    </w:p>
    <w:p>
      <w:pPr>
        <w:spacing w:after="160" w:before="0" w:line="276"/>
        <w:jc w:val="left"/>
      </w:pPr>
      <w:r>
        <w:rPr>
          <w:rFonts w:ascii="Calibri" w:cs="Calibri" w:eastAsia="Calibri" w:hAnsi="Calibri"/>
          <w:b w:val="false"/>
          <w:bCs w:val="false"/>
          <w:i w:val="false"/>
          <w:iCs w:val="false"/>
          <w:color w:val="1C1C1C"/>
          <w:sz w:val="22"/>
          <w:szCs w:val="22"/>
        </w:rPr>
        <w:t xml:space="preserve">The association shall maintain at least one fiat account in the association’s legal name and may maintain crypto-native rails consistent with law. Dual control: treasurer + one other administrator for movements above a published threshold. Threshold on day one: USD 2,500.</w:t>
      </w:r>
    </w:p>
    <w:p>
      <w:pPr>
        <w:pStyle w:val="Heading2"/>
        <w:spacing w:after="120" w:before="280"/>
      </w:pPr>
      <w:r>
        <w:rPr>
          <w:rFonts w:ascii="Calibri" w:cs="Calibri" w:eastAsia="Calibri" w:hAnsi="Calibri"/>
          <w:b/>
          <w:bCs/>
          <w:color w:val="0D5C63"/>
          <w:sz w:val="26"/>
          <w:szCs w:val="26"/>
        </w:rPr>
        <w:t xml:space="preserve">6.2 Surplus</w:t>
      </w:r>
    </w:p>
    <w:p>
      <w:pPr>
        <w:spacing w:after="160" w:before="0" w:line="276"/>
        <w:jc w:val="left"/>
      </w:pPr>
      <w:r>
        <w:rPr>
          <w:rFonts w:ascii="Calibri" w:cs="Calibri" w:eastAsia="Calibri" w:hAnsi="Calibri"/>
          <w:b w:val="false"/>
          <w:bCs w:val="false"/>
          <w:i w:val="false"/>
          <w:iCs w:val="false"/>
          <w:color w:val="1C1C1C"/>
          <w:sz w:val="22"/>
          <w:szCs w:val="22"/>
        </w:rPr>
        <w:t xml:space="preserve">Revenue from licensed methodology, donations, grants, and mission-related activity is association property. After reasonable compensation and reserves, surplus funds public goods, node envelopes, and literary-charity work. No member dividend. No equity waterfall.</w:t>
      </w:r>
    </w:p>
    <w:p>
      <w:pPr>
        <w:pStyle w:val="Heading2"/>
        <w:spacing w:after="120" w:before="280"/>
      </w:pPr>
      <w:r>
        <w:rPr>
          <w:rFonts w:ascii="Calibri" w:cs="Calibri" w:eastAsia="Calibri" w:hAnsi="Calibri"/>
          <w:b/>
          <w:bCs/>
          <w:color w:val="0D5C63"/>
          <w:sz w:val="26"/>
          <w:szCs w:val="26"/>
        </w:rPr>
        <w:t xml:space="preserve">6.3 Commercial operator boundary</w:t>
      </w:r>
    </w:p>
    <w:p>
      <w:pPr>
        <w:spacing w:after="160" w:before="0" w:line="276"/>
        <w:jc w:val="left"/>
      </w:pPr>
      <w:r>
        <w:rPr>
          <w:rFonts w:ascii="Calibri" w:cs="Calibri" w:eastAsia="Calibri" w:hAnsi="Calibri"/>
          <w:b w:val="false"/>
          <w:bCs w:val="false"/>
          <w:i w:val="false"/>
          <w:iCs w:val="false"/>
          <w:color w:val="1C1C1C"/>
          <w:sz w:val="22"/>
          <w:szCs w:val="22"/>
        </w:rPr>
        <w:t xml:space="preserve">Phase Mirror as managed SaaS, certification marks, and compliance packs may be operated by a licensed commercial entity (Proof Labs or successor) under the Phase Mirror License. The DUNA does not become a stealth SaaS company. The commercial operator remits a published share of surplus or a grant equivalent to the DUNA. Terms live in a written agreement, not a handshake.</w:t>
      </w:r>
    </w:p>
    <w:p>
      <w:pPr>
        <w:pStyle w:val="Heading2"/>
        <w:spacing w:after="120" w:before="280"/>
      </w:pPr>
      <w:r>
        <w:rPr>
          <w:rFonts w:ascii="Calibri" w:cs="Calibri" w:eastAsia="Calibri" w:hAnsi="Calibri"/>
          <w:b/>
          <w:bCs/>
          <w:color w:val="0D5C63"/>
          <w:sz w:val="26"/>
          <w:szCs w:val="26"/>
        </w:rPr>
        <w:t xml:space="preserve">6.4 Exchange caps (from standing reward rules)</w:t>
      </w:r>
    </w:p>
    <w:p>
      <w:pPr>
        <w:spacing w:after="160" w:before="0" w:line="276"/>
        <w:jc w:val="left"/>
      </w:pPr>
      <w:r>
        <w:rPr>
          <w:rFonts w:ascii="Calibri" w:cs="Calibri" w:eastAsia="Calibri" w:hAnsi="Calibri"/>
          <w:b w:val="false"/>
          <w:bCs w:val="false"/>
          <w:i w:val="false"/>
          <w:iCs w:val="false"/>
          <w:color w:val="1C1C1C"/>
          <w:sz w:val="22"/>
          <w:szCs w:val="22"/>
        </w:rPr>
        <w:t xml:space="preserve">Credits are not dollars. Where exchange into local currency is offered, monthly caps apply: youth 14–18 with guardian consent up to $500; members up to $2,000; management-equivalent operators up to $3,000; officers up to $4,000; presidents/administrators-of-record up to $5,000. Passing credits to another member shall not exceed 2,000 credits per recipient per month unless the members approve a higher published limit. Spending credits on member services is uncapped.</w:t>
      </w:r>
    </w:p>
    <w:p>
      <w:pPr>
        <w:spacing w:after="160" w:before="0" w:line="276"/>
        <w:jc w:val="left"/>
      </w:pPr>
      <w:r>
        <w:rPr>
          <w:rFonts w:ascii="Calibri" w:cs="Calibri" w:eastAsia="Calibri" w:hAnsi="Calibri"/>
          <w:b w:val="false"/>
          <w:bCs w:val="false"/>
          <w:i w:val="false"/>
          <w:iCs w:val="false"/>
          <w:color w:val="1C1C1C"/>
          <w:sz w:val="22"/>
          <w:szCs w:val="22"/>
        </w:rPr>
        <w:t xml:space="preserve">These caps exist so recognition does not become a shadow payroll that punches a hole in the no-distribution rule. Counsel shall review any cash-out against W.S. 17-32-104 and tax law before the first exchange.</w:t>
      </w:r>
    </w:p>
    <w:p>
      <w:pPr>
        <w:pStyle w:val="Heading1"/>
        <w:pBdr>
          <w:bottom w:val="single" w:color="0D5C63" w:sz="12" w:space="4"/>
        </w:pBdr>
        <w:spacing w:after="160" w:before="360"/>
      </w:pPr>
      <w:r>
        <w:rPr>
          <w:rFonts w:ascii="Calibri" w:cs="Calibri" w:eastAsia="Calibri" w:hAnsi="Calibri"/>
          <w:b/>
          <w:bCs/>
          <w:color w:val="0D5C63"/>
          <w:sz w:val="32"/>
          <w:szCs w:val="32"/>
        </w:rPr>
        <w:t xml:space="preserve">7. Governance process</w:t>
      </w:r>
    </w:p>
    <w:p>
      <w:pPr>
        <w:pStyle w:val="Heading2"/>
        <w:spacing w:after="120" w:before="280"/>
      </w:pPr>
      <w:r>
        <w:rPr>
          <w:rFonts w:ascii="Calibri" w:cs="Calibri" w:eastAsia="Calibri" w:hAnsi="Calibri"/>
          <w:b/>
          <w:bCs/>
          <w:color w:val="0D5C63"/>
          <w:sz w:val="26"/>
          <w:szCs w:val="26"/>
        </w:rPr>
        <w:t xml:space="preserve">7.1 Forums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rPr>
          <w:tblHeader/>
        </w:trPr>
        <w:tc>
          <w:tcPr>
            <w:tcW w:type="dxa" w:w="28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Forum</w:t>
            </w:r>
          </w:p>
        </w:tc>
        <w:tc>
          <w:tcPr>
            <w:tcW w:type="dxa" w:w="28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Cadence</w:t>
            </w:r>
          </w:p>
        </w:tc>
        <w:tc>
          <w:tcPr>
            <w:tcW w:type="dxa" w:w="448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Quorum / threshold</w:t>
            </w:r>
          </w:p>
        </w:tc>
      </w:tr>
      <w:tr>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Node circle</w:t>
            </w:r>
          </w:p>
        </w:tc>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Weekly or by node rule</w:t>
            </w:r>
          </w:p>
        </w:tc>
        <w:tc>
          <w:tcPr>
            <w:tcW w:type="dxa" w:w="44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Majority of active operators present or async consent</w:t>
            </w:r>
          </w:p>
        </w:tc>
      </w:tr>
      <w:tr>
        <w:tc>
          <w:tcPr>
            <w:tcW w:type="dxa" w:w="28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Coach huddle</w:t>
            </w:r>
          </w:p>
        </w:tc>
        <w:tc>
          <w:tcPr>
            <w:tcW w:type="dxa" w:w="28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Biweekly</w:t>
            </w:r>
          </w:p>
        </w:tc>
        <w:tc>
          <w:tcPr>
            <w:tcW w:type="dxa" w:w="44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Advisory only</w:t>
            </w:r>
          </w:p>
        </w:tc>
      </w:tr>
      <w:tr>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Commons assembly</w:t>
            </w:r>
          </w:p>
        </w:tc>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Quarterly</w:t>
            </w:r>
          </w:p>
        </w:tc>
        <w:tc>
          <w:tcPr>
            <w:tcW w:type="dxa" w:w="44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10% of voting members or 30 members, whichever smaller, once ≥100 exist</w:t>
            </w:r>
          </w:p>
        </w:tc>
      </w:tr>
      <w:tr>
        <w:tc>
          <w:tcPr>
            <w:tcW w:type="dxa" w:w="28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Principle amendment</w:t>
            </w:r>
          </w:p>
        </w:tc>
        <w:tc>
          <w:tcPr>
            <w:tcW w:type="dxa" w:w="28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As proposed</w:t>
            </w:r>
          </w:p>
        </w:tc>
        <w:tc>
          <w:tcPr>
            <w:tcW w:type="dxa" w:w="44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2/3 of votes cast after 14-day notice; 1/3 veto of votes cast rejects</w:t>
            </w:r>
          </w:p>
        </w:tc>
      </w:tr>
      <w:tr>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Administrator selection / removal</w:t>
            </w:r>
          </w:p>
        </w:tc>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Annual and as needed</w:t>
            </w:r>
          </w:p>
        </w:tc>
        <w:tc>
          <w:tcPr>
            <w:tcW w:type="dxa" w:w="44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Majority of votes cast unless statute requires more</w:t>
            </w:r>
          </w:p>
        </w:tc>
      </w:tr>
      <w:tr>
        <w:tc>
          <w:tcPr>
            <w:tcW w:type="dxa" w:w="28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Disposition of material assets</w:t>
            </w:r>
          </w:p>
        </w:tc>
        <w:tc>
          <w:tcPr>
            <w:tcW w:type="dxa" w:w="28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As needed</w:t>
            </w:r>
          </w:p>
        </w:tc>
        <w:tc>
          <w:tcPr>
            <w:tcW w:type="dxa" w:w="44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Majority of votes cast after 14-day notice</w:t>
            </w:r>
          </w:p>
        </w:tc>
      </w:tr>
      <w:tr>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Kill-switch (existential)</w:t>
            </w:r>
          </w:p>
        </w:tc>
        <w:tc>
          <w:tcPr>
            <w:tcW w:type="dxa" w:w="28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Emergency</w:t>
            </w:r>
          </w:p>
        </w:tc>
        <w:tc>
          <w:tcPr>
            <w:tcW w:type="dxa" w:w="44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3/5 of sitting administrators plus notice to members within 48 hours</w:t>
            </w:r>
          </w:p>
        </w:tc>
      </w:tr>
    </w:tbl>
    <w:p>
      <w:pPr>
        <w:spacing w:after="120"/>
      </w:pPr>
    </w:p>
    <w:p>
      <w:pPr>
        <w:pStyle w:val="Heading2"/>
        <w:spacing w:after="120" w:before="280"/>
      </w:pPr>
      <w:r>
        <w:rPr>
          <w:rFonts w:ascii="Calibri" w:cs="Calibri" w:eastAsia="Calibri" w:hAnsi="Calibri"/>
          <w:b/>
          <w:bCs/>
          <w:color w:val="0D5C63"/>
          <w:sz w:val="26"/>
          <w:szCs w:val="26"/>
        </w:rPr>
        <w:t xml:space="preserve">7.2 Consensus algorithms</w:t>
      </w:r>
    </w:p>
    <w:p>
      <w:pPr>
        <w:spacing w:after="160" w:before="0" w:line="276"/>
        <w:jc w:val="left"/>
      </w:pPr>
      <w:r>
        <w:rPr>
          <w:rFonts w:ascii="Calibri" w:cs="Calibri" w:eastAsia="Calibri" w:hAnsi="Calibri"/>
          <w:b w:val="false"/>
          <w:bCs w:val="false"/>
          <w:i w:val="false"/>
          <w:iCs w:val="false"/>
          <w:color w:val="1C1C1C"/>
          <w:sz w:val="22"/>
          <w:szCs w:val="22"/>
        </w:rPr>
        <w:t xml:space="preserve">Nodes may use consent (no principled objection) for ordinary work. Association-wide acts use recorded votes. A distributed ledger may record votes. The algorithm must be published, reproducible, and unable to silently change thresholds. Phase Mirror reports attach to any proposal that spends more than the dual-control threshold or changes L0 invariants.</w:t>
      </w:r>
    </w:p>
    <w:p>
      <w:pPr>
        <w:pStyle w:val="Heading2"/>
        <w:spacing w:after="120" w:before="280"/>
      </w:pPr>
      <w:r>
        <w:rPr>
          <w:rFonts w:ascii="Calibri" w:cs="Calibri" w:eastAsia="Calibri" w:hAnsi="Calibri"/>
          <w:b/>
          <w:bCs/>
          <w:color w:val="0D5C63"/>
          <w:sz w:val="26"/>
          <w:szCs w:val="26"/>
        </w:rPr>
        <w:t xml:space="preserve">7.3 Amendments</w:t>
      </w:r>
    </w:p>
    <w:p>
      <w:pPr>
        <w:spacing w:after="160" w:before="0" w:line="276"/>
        <w:jc w:val="left"/>
      </w:pPr>
      <w:r>
        <w:rPr>
          <w:rFonts w:ascii="Calibri" w:cs="Calibri" w:eastAsia="Calibri" w:hAnsi="Calibri"/>
          <w:b w:val="false"/>
          <w:bCs w:val="false"/>
          <w:i w:val="false"/>
          <w:iCs w:val="false"/>
          <w:color w:val="1C1C1C"/>
          <w:sz w:val="22"/>
          <w:szCs w:val="22"/>
        </w:rPr>
        <w:t xml:space="preserve">Any member may propose an amendment as a written pull-request equivalent to these principles. Quorum: 2/3 of active repository-or-register contributors from the preceding 90 days must be in the discussion before a vote opens, or, if that measure is unavailable, notice to all voting members and a 14-day comment window. Veto: 1/3 of votes cast rejects. Rollback: 30 days after ratification if a critical flaw is named, same thresholds. This mirrors the Ξ-Constitution amendment pattern already in the stack.</w:t>
      </w:r>
    </w:p>
    <w:p>
      <w:pPr>
        <w:pStyle w:val="Heading1"/>
        <w:pBdr>
          <w:bottom w:val="single" w:color="0D5C63" w:sz="12" w:space="4"/>
        </w:pBdr>
        <w:spacing w:after="160" w:before="360"/>
      </w:pPr>
      <w:r>
        <w:rPr>
          <w:rFonts w:ascii="Calibri" w:cs="Calibri" w:eastAsia="Calibri" w:hAnsi="Calibri"/>
          <w:b/>
          <w:bCs/>
          <w:color w:val="0D5C63"/>
          <w:sz w:val="32"/>
          <w:szCs w:val="32"/>
        </w:rPr>
        <w:t xml:space="preserve">8. Records, agent, and privacy</w:t>
      </w:r>
    </w:p>
    <w:p>
      <w:pPr>
        <w:pStyle w:val="ListParagraph"/>
        <w:numPr>
          <w:ilvl w:val="0"/>
          <w:numId w:val="2"/>
        </w:numPr>
        <w:spacing w:after="80" w:line="260"/>
      </w:pPr>
      <w:r>
        <w:rPr>
          <w:rFonts w:ascii="Calibri" w:cs="Calibri" w:eastAsia="Calibri" w:hAnsi="Calibri"/>
          <w:color w:val="1C1C1C"/>
          <w:sz w:val="21"/>
          <w:szCs w:val="21"/>
        </w:rPr>
        <w:t xml:space="preserve">Membership register at the principal records office and, if used, on a ledger. Names and addresses are not a marketing list.</w:t>
      </w:r>
    </w:p>
    <w:p>
      <w:pPr>
        <w:pStyle w:val="ListParagraph"/>
        <w:numPr>
          <w:ilvl w:val="0"/>
          <w:numId w:val="2"/>
        </w:numPr>
        <w:spacing w:after="80" w:line="260"/>
      </w:pPr>
      <w:r>
        <w:rPr>
          <w:rFonts w:ascii="Calibri" w:cs="Calibri" w:eastAsia="Calibri" w:hAnsi="Calibri"/>
          <w:color w:val="1C1C1C"/>
          <w:sz w:val="21"/>
          <w:szCs w:val="21"/>
        </w:rPr>
        <w:t xml:space="preserve">Minutes of assemblies, node metric cards, treasury statements, dissonance reports on material acts.</w:t>
      </w:r>
    </w:p>
    <w:p>
      <w:pPr>
        <w:pStyle w:val="ListParagraph"/>
        <w:numPr>
          <w:ilvl w:val="0"/>
          <w:numId w:val="2"/>
        </w:numPr>
        <w:spacing w:after="80" w:line="260"/>
      </w:pPr>
      <w:r>
        <w:rPr>
          <w:rFonts w:ascii="Calibri" w:cs="Calibri" w:eastAsia="Calibri" w:hAnsi="Calibri"/>
          <w:color w:val="1C1C1C"/>
          <w:sz w:val="21"/>
          <w:szCs w:val="21"/>
        </w:rPr>
        <w:t xml:space="preserve">Agent for service of process: a named person or registered agent authorized in Wyoming or as counsel directs.</w:t>
      </w:r>
    </w:p>
    <w:p>
      <w:pPr>
        <w:pStyle w:val="ListParagraph"/>
        <w:numPr>
          <w:ilvl w:val="0"/>
          <w:numId w:val="2"/>
        </w:numPr>
        <w:spacing w:after="80" w:line="260"/>
      </w:pPr>
      <w:r>
        <w:rPr>
          <w:rFonts w:ascii="Calibri" w:cs="Calibri" w:eastAsia="Calibri" w:hAnsi="Calibri"/>
          <w:color w:val="1C1C1C"/>
          <w:sz w:val="21"/>
          <w:szCs w:val="21"/>
        </w:rPr>
        <w:t xml:space="preserve">Information personhood: minimize collection; no sale of personal data; calibration data for Phase Mirror only with revocable org-level consent as specified in the Privacy Policy.</w:t>
      </w:r>
    </w:p>
    <w:p>
      <w:pPr>
        <w:pStyle w:val="ListParagraph"/>
        <w:numPr>
          <w:ilvl w:val="0"/>
          <w:numId w:val="2"/>
        </w:numPr>
        <w:spacing w:after="80" w:line="260"/>
      </w:pPr>
      <w:r>
        <w:rPr>
          <w:rFonts w:ascii="Calibri" w:cs="Calibri" w:eastAsia="Calibri" w:hAnsi="Calibri"/>
          <w:color w:val="1C1C1C"/>
          <w:sz w:val="21"/>
          <w:szCs w:val="21"/>
        </w:rPr>
        <w:t xml:space="preserve">Members inspect records for a purpose reasonably related to membership, with five business days’ written demand unless statute requires otherwise.</w:t>
      </w:r>
    </w:p>
    <w:p>
      <w:pPr>
        <w:pStyle w:val="Heading1"/>
        <w:pBdr>
          <w:bottom w:val="single" w:color="0D5C63" w:sz="12" w:space="4"/>
        </w:pBdr>
        <w:spacing w:after="160" w:before="360"/>
      </w:pPr>
      <w:r>
        <w:rPr>
          <w:rFonts w:ascii="Calibri" w:cs="Calibri" w:eastAsia="Calibri" w:hAnsi="Calibri"/>
          <w:b/>
          <w:bCs/>
          <w:color w:val="0D5C63"/>
          <w:sz w:val="32"/>
          <w:szCs w:val="32"/>
        </w:rPr>
        <w:t xml:space="preserve">9. Conduct</w:t>
      </w:r>
    </w:p>
    <w:p>
      <w:pPr>
        <w:spacing w:after="160" w:before="0" w:line="276"/>
        <w:jc w:val="left"/>
      </w:pPr>
      <w:r>
        <w:rPr>
          <w:rFonts w:ascii="Calibri" w:cs="Calibri" w:eastAsia="Calibri" w:hAnsi="Calibri"/>
          <w:b w:val="false"/>
          <w:bCs w:val="false"/>
          <w:i w:val="false"/>
          <w:iCs w:val="false"/>
          <w:color w:val="1C1C1C"/>
          <w:sz w:val="22"/>
          <w:szCs w:val="22"/>
        </w:rPr>
        <w:t xml:space="preserve">Treat others as you would be treated. No harassment. No degradation. Members may defend themselves as local law allows. Violations of another person’s human rights may end membership and may be referred to lawful authority.</w:t>
      </w:r>
    </w:p>
    <w:p>
      <w:pPr>
        <w:spacing w:after="160" w:before="0" w:line="276"/>
        <w:jc w:val="left"/>
      </w:pPr>
      <w:r>
        <w:rPr>
          <w:rFonts w:ascii="Calibri" w:cs="Calibri" w:eastAsia="Calibri" w:hAnsi="Calibri"/>
          <w:b w:val="false"/>
          <w:bCs w:val="false"/>
          <w:i w:val="false"/>
          <w:iCs w:val="false"/>
          <w:color w:val="1C1C1C"/>
          <w:sz w:val="22"/>
          <w:szCs w:val="22"/>
        </w:rPr>
        <w:t xml:space="preserve">The association refuses targeted political persuasion as a corporate act. Members remain free as citizens. The DUNA is not a PAC.</w:t>
      </w:r>
    </w:p>
    <w:p>
      <w:pPr>
        <w:pStyle w:val="Heading1"/>
        <w:pBdr>
          <w:bottom w:val="single" w:color="0D5C63" w:sz="12" w:space="4"/>
        </w:pBdr>
        <w:spacing w:after="160" w:before="360"/>
      </w:pPr>
      <w:r>
        <w:rPr>
          <w:rFonts w:ascii="Calibri" w:cs="Calibri" w:eastAsia="Calibri" w:hAnsi="Calibri"/>
          <w:b/>
          <w:bCs/>
          <w:color w:val="0D5C63"/>
          <w:sz w:val="32"/>
          <w:szCs w:val="32"/>
        </w:rPr>
        <w:t xml:space="preserve">10. Indemnity and insurance</w:t>
      </w:r>
    </w:p>
    <w:p>
      <w:pPr>
        <w:spacing w:after="160" w:before="0" w:line="276"/>
        <w:jc w:val="left"/>
      </w:pPr>
      <w:r>
        <w:rPr>
          <w:rFonts w:ascii="Calibri" w:cs="Calibri" w:eastAsia="Calibri" w:hAnsi="Calibri"/>
          <w:b w:val="false"/>
          <w:bCs w:val="false"/>
          <w:i w:val="false"/>
          <w:iCs w:val="false"/>
          <w:color w:val="1C1C1C"/>
          <w:sz w:val="22"/>
          <w:szCs w:val="22"/>
        </w:rPr>
        <w:t xml:space="preserve">Administrators and operators acting in good faith within authority shall be indemnified to the extent permitted by W.S. 17-32-125 and applicable law. The association shall carry insurance appropriate to gardens, gatherings, data, and professional services. Indemnity does not cover self-dealing or knowing L0 violations.</w:t>
      </w:r>
    </w:p>
    <w:p>
      <w:pPr>
        <w:pStyle w:val="Heading1"/>
        <w:pBdr>
          <w:bottom w:val="single" w:color="0D5C63" w:sz="12" w:space="4"/>
        </w:pBdr>
        <w:spacing w:after="160" w:before="360"/>
      </w:pPr>
      <w:r>
        <w:rPr>
          <w:rFonts w:ascii="Calibri" w:cs="Calibri" w:eastAsia="Calibri" w:hAnsi="Calibri"/>
          <w:b/>
          <w:bCs/>
          <w:color w:val="0D5C63"/>
          <w:sz w:val="32"/>
          <w:szCs w:val="32"/>
        </w:rPr>
        <w:t xml:space="preserve">11. Dissolution</w:t>
      </w:r>
    </w:p>
    <w:p>
      <w:pPr>
        <w:spacing w:after="160" w:before="0" w:line="276"/>
        <w:jc w:val="left"/>
      </w:pPr>
      <w:r>
        <w:rPr>
          <w:rFonts w:ascii="Calibri" w:cs="Calibri" w:eastAsia="Calibri" w:hAnsi="Calibri"/>
          <w:b w:val="false"/>
          <w:bCs w:val="false"/>
          <w:i w:val="false"/>
          <w:iCs w:val="false"/>
          <w:color w:val="1C1C1C"/>
          <w:sz w:val="22"/>
          <w:szCs w:val="22"/>
        </w:rPr>
        <w:t xml:space="preserve">On dissolution, after debts, remaining assets go only to one or more organizations carrying on charitable or public purposes, not formed to inure benefit to private persons. This restates the dedication already present in Citizen Gardens articles and bylaws drafts. Members do not receive a residual estate.</w:t>
      </w:r>
    </w:p>
    <w:p>
      <w:pPr>
        <w:pStyle w:val="Heading1"/>
        <w:pBdr>
          <w:bottom w:val="single" w:color="0D5C63" w:sz="12" w:space="4"/>
        </w:pBdr>
        <w:spacing w:after="160" w:before="360"/>
      </w:pPr>
      <w:r>
        <w:rPr>
          <w:rFonts w:ascii="Calibri" w:cs="Calibri" w:eastAsia="Calibri" w:hAnsi="Calibri"/>
          <w:b/>
          <w:bCs/>
          <w:color w:val="0D5C63"/>
          <w:sz w:val="32"/>
          <w:szCs w:val="32"/>
        </w:rPr>
        <w:t xml:space="preserve">12. Named tensions (Phase Mirror register)</w:t>
      </w:r>
    </w:p>
    <w:p>
      <w:pPr>
        <w:spacing w:after="160" w:before="0" w:line="276"/>
        <w:jc w:val="left"/>
      </w:pPr>
      <w:r>
        <w:rPr>
          <w:rFonts w:ascii="Calibri" w:cs="Calibri" w:eastAsia="Calibri" w:hAnsi="Calibri"/>
          <w:b w:val="false"/>
          <w:bCs w:val="false"/>
          <w:i w:val="false"/>
          <w:iCs w:val="false"/>
          <w:color w:val="1C1C1C"/>
          <w:sz w:val="22"/>
          <w:szCs w:val="22"/>
        </w:rPr>
        <w:t xml:space="preserve">These contradictions are permanent. They are managed, not solved.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Tension</w:t>
            </w:r>
          </w:p>
        </w:tc>
        <w:tc>
          <w:tcPr>
            <w:tcW w:type="dxa" w:w="588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Binding we use</w:t>
            </w:r>
          </w:p>
        </w:tc>
      </w:tr>
      <w:tr>
        <w:tc>
          <w:tcPr>
            <w:tcW w:type="dxa" w:w="4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Autonomy of nodes vs association L0</w:t>
            </w:r>
          </w:p>
        </w:tc>
        <w:tc>
          <w:tcPr>
            <w:tcW w:type="dxa" w:w="58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Nodes own operations; L0 is non-negotiable; coaches have no command</w:t>
            </w:r>
          </w:p>
        </w:tc>
      </w:tr>
      <w:tr>
        <w:tc>
          <w:tcPr>
            <w:tcW w:type="dxa" w:w="4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DUNA nonprofit vs Phase Mirror SaaS revenue</w:t>
            </w:r>
          </w:p>
        </w:tc>
        <w:tc>
          <w:tcPr>
            <w:tcW w:type="dxa" w:w="58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Separate commercial operator + written remittance to DUNA</w:t>
            </w:r>
          </w:p>
        </w:tc>
      </w:tr>
      <w:tr>
        <w:tc>
          <w:tcPr>
            <w:tcW w:type="dxa" w:w="4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100-member DUNA floor vs early team</w:t>
            </w:r>
          </w:p>
        </w:tc>
        <w:tc>
          <w:tcPr>
            <w:tcW w:type="dxa" w:w="58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Operate as UNA until 100; publish the count monthly</w:t>
            </w:r>
          </w:p>
        </w:tc>
      </w:tr>
      <w:tr>
        <w:tc>
          <w:tcPr>
            <w:tcW w:type="dxa" w:w="4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Bushidō fidelity vs statutory resignation</w:t>
            </w:r>
          </w:p>
        </w:tc>
        <w:tc>
          <w:tcPr>
            <w:tcW w:type="dxa" w:w="58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Fidelity is to purpose; exit is always available</w:t>
            </w:r>
          </w:p>
        </w:tc>
      </w:tr>
      <w:tr>
        <w:tc>
          <w:tcPr>
            <w:tcW w:type="dxa" w:w="4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Credits that feel like money vs no distributions</w:t>
            </w:r>
          </w:p>
        </w:tc>
        <w:tc>
          <w:tcPr>
            <w:tcW w:type="dxa" w:w="58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Caps, counsel review, living dividends not interest</w:t>
            </w:r>
          </w:p>
        </w:tc>
      </w:tr>
      <w:tr>
        <w:tc>
          <w:tcPr>
            <w:tcW w:type="dxa" w:w="4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Open-core methodology vs managed-service restriction</w:t>
            </w:r>
          </w:p>
        </w:tc>
        <w:tc>
          <w:tcPr>
            <w:tcW w:type="dxa" w:w="58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Apache-style core; hosted oracle is licensed</w:t>
            </w:r>
          </w:p>
        </w:tc>
      </w:tr>
      <w:tr>
        <w:tc>
          <w:tcPr>
            <w:tcW w:type="dxa" w:w="4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Probabilistic tools vs binary duty of care</w:t>
            </w:r>
          </w:p>
        </w:tc>
        <w:tc>
          <w:tcPr>
            <w:tcW w:type="dxa" w:w="58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Human-on-exception; verification artifacts before filings or clinical-adjacent claims</w:t>
            </w:r>
          </w:p>
        </w:tc>
      </w:tr>
      <w:tr>
        <w:tc>
          <w:tcPr>
            <w:tcW w:type="dxa" w:w="4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Literary definition vs operational slang</w:t>
            </w:r>
          </w:p>
        </w:tc>
        <w:tc>
          <w:tcPr>
            <w:tcW w:type="dxa" w:w="58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Charity function keeps Multiplicity as practice, not brand fog</w:t>
            </w:r>
          </w:p>
        </w:tc>
      </w:tr>
    </w:tbl>
    <w:p>
      <w:pPr>
        <w:spacing w:after="160"/>
      </w:pPr>
    </w:p>
    <w:p>
      <w:pPr>
        <w:pStyle w:val="Heading1"/>
        <w:pBdr>
          <w:bottom w:val="single" w:color="0D5C63" w:sz="12" w:space="4"/>
        </w:pBdr>
        <w:spacing w:after="160" w:before="360"/>
      </w:pPr>
      <w:r>
        <w:rPr>
          <w:rFonts w:ascii="Calibri" w:cs="Calibri" w:eastAsia="Calibri" w:hAnsi="Calibri"/>
          <w:b/>
          <w:bCs/>
          <w:color w:val="0D5C63"/>
          <w:sz w:val="32"/>
          <w:szCs w:val="32"/>
        </w:rPr>
        <w:t xml:space="preserve">13. Formation sequence (90 days)</w:t>
      </w:r>
    </w:p>
    <w:p>
      <w:pPr>
        <w:spacing w:after="160" w:before="0" w:line="276"/>
        <w:jc w:val="left"/>
      </w:pPr>
      <w:r>
        <w:rPr>
          <w:rFonts w:ascii="Calibri" w:cs="Calibri" w:eastAsia="Calibri" w:hAnsi="Calibri"/>
          <w:b w:val="false"/>
          <w:bCs w:val="false"/>
          <w:i w:val="false"/>
          <w:iCs w:val="false"/>
          <w:color w:val="1C1C1C"/>
          <w:sz w:val="22"/>
          <w:szCs w:val="22"/>
        </w:rPr>
        <w:t xml:space="preserve">Hope is not a formation plan. Owners below are roles, not yet named persons.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080"/>
        <w:gridCol w:w="2200"/>
      </w:tblGrid>
      <w:tr>
        <w:trPr>
          <w:tblHeader/>
        </w:trPr>
        <w:tc>
          <w:tcPr>
            <w:tcW w:type="dxa" w:w="16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Horizon</w:t>
            </w:r>
          </w:p>
        </w:tc>
        <w:tc>
          <w:tcPr>
            <w:tcW w:type="dxa" w:w="22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Owner role</w:t>
            </w:r>
          </w:p>
        </w:tc>
        <w:tc>
          <w:tcPr>
            <w:tcW w:type="dxa" w:w="408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Lever</w:t>
            </w:r>
          </w:p>
        </w:tc>
        <w:tc>
          <w:tcPr>
            <w:tcW w:type="dxa" w:w="2200"/>
            <w:tcBorders>
              <w:top w:val="single" w:color="C9C2B4" w:sz="4"/>
              <w:left w:val="single" w:color="C9C2B4" w:sz="4"/>
              <w:bottom w:val="single" w:color="C9C2B4" w:sz="4"/>
              <w:right w:val="single" w:color="C9C2B4" w:sz="4"/>
            </w:tcBorders>
            <w:shd w:fill="0D5C63"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8"/>
                <w:szCs w:val="18"/>
              </w:rPr>
              <w:t xml:space="preserve">Metric</w:t>
            </w:r>
          </w:p>
        </w:tc>
      </w:tr>
      <w:tr>
        <w:tc>
          <w:tcPr>
            <w:tcW w:type="dxa" w:w="16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Day 0–7</w:t>
            </w:r>
          </w:p>
        </w:tc>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Founder / counsel</w:t>
            </w:r>
          </w:p>
        </w:tc>
        <w:tc>
          <w:tcPr>
            <w:tcW w:type="dxa" w:w="40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Retain Wyoming-capable counsel; confirm current W.S. 17-32 text including 2026 amendments</w:t>
            </w:r>
          </w:p>
        </w:tc>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Written memo on file</w:t>
            </w:r>
          </w:p>
        </w:tc>
      </w:tr>
      <w:tr>
        <w:tc>
          <w:tcPr>
            <w:tcW w:type="dxa" w:w="16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Day 0–14</w:t>
            </w:r>
          </w:p>
        </w:tc>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Founder</w:t>
            </w:r>
          </w:p>
        </w:tc>
        <w:tc>
          <w:tcPr>
            <w:tcW w:type="dxa" w:w="40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Adopt these principles by written consent of initial members</w:t>
            </w:r>
          </w:p>
        </w:tc>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Signed instrument + hash</w:t>
            </w:r>
          </w:p>
        </w:tc>
      </w:tr>
      <w:tr>
        <w:tc>
          <w:tcPr>
            <w:tcW w:type="dxa" w:w="16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Day 7–21</w:t>
            </w:r>
          </w:p>
        </w:tc>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Counsel / admin</w:t>
            </w:r>
          </w:p>
        </w:tc>
        <w:tc>
          <w:tcPr>
            <w:tcW w:type="dxa" w:w="40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Appoint service-of-process agent; obtain EIN; open treasury with dual control</w:t>
            </w:r>
          </w:p>
        </w:tc>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EIN letter + account live</w:t>
            </w:r>
          </w:p>
        </w:tc>
      </w:tr>
      <w:tr>
        <w:tc>
          <w:tcPr>
            <w:tcW w:type="dxa" w:w="16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Day 14–30</w:t>
            </w:r>
          </w:p>
        </w:tc>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Records admin</w:t>
            </w:r>
          </w:p>
        </w:tc>
        <w:tc>
          <w:tcPr>
            <w:tcW w:type="dxa" w:w="40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Stand up membership register; youth-consent form; L0 checklist</w:t>
            </w:r>
          </w:p>
        </w:tc>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Register schema published</w:t>
            </w:r>
          </w:p>
        </w:tc>
      </w:tr>
      <w:tr>
        <w:tc>
          <w:tcPr>
            <w:tcW w:type="dxa" w:w="16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Day 21–45</w:t>
            </w:r>
          </w:p>
        </w:tc>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Node sponsors</w:t>
            </w:r>
          </w:p>
        </w:tc>
        <w:tc>
          <w:tcPr>
            <w:tcW w:type="dxa" w:w="40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Launch first Sovereignty Node (garden or Civic R&amp;D cell) with ≤12 operators</w:t>
            </w:r>
          </w:p>
        </w:tc>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Node card v1 published</w:t>
            </w:r>
          </w:p>
        </w:tc>
      </w:tr>
      <w:tr>
        <w:tc>
          <w:tcPr>
            <w:tcW w:type="dxa" w:w="16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Day 30–60</w:t>
            </w:r>
          </w:p>
        </w:tc>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Counsel / commercial lead</w:t>
            </w:r>
          </w:p>
        </w:tc>
        <w:tc>
          <w:tcPr>
            <w:tcW w:type="dxa" w:w="40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Draft operator agreement: DUNA commons ↔ Phase Mirror licensee</w:t>
            </w:r>
          </w:p>
        </w:tc>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Agreement in review</w:t>
            </w:r>
          </w:p>
        </w:tc>
      </w:tr>
      <w:tr>
        <w:tc>
          <w:tcPr>
            <w:tcW w:type="dxa" w:w="16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Day 45–75</w:t>
            </w:r>
          </w:p>
        </w:tc>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Membership</w:t>
            </w:r>
          </w:p>
        </w:tc>
        <w:tc>
          <w:tcPr>
            <w:tcW w:type="dxa" w:w="408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Drive register toward 100 members without buying votes</w:t>
            </w:r>
          </w:p>
        </w:tc>
        <w:tc>
          <w:tcPr>
            <w:tcW w:type="dxa" w:w="2200"/>
            <w:tcBorders>
              <w:top w:val="single" w:color="C9C2B4" w:sz="4"/>
              <w:left w:val="single" w:color="C9C2B4" w:sz="4"/>
              <w:bottom w:val="single" w:color="C9C2B4" w:sz="4"/>
              <w:right w:val="single" w:color="C9C2B4" w:sz="4"/>
            </w:tcBorders>
            <w:shd w:fill="F7F3EB"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Weekly count public</w:t>
            </w:r>
          </w:p>
        </w:tc>
      </w:tr>
      <w:tr>
        <w:tc>
          <w:tcPr>
            <w:tcW w:type="dxa" w:w="16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Day 60–90</w:t>
            </w:r>
          </w:p>
        </w:tc>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Administrators</w:t>
            </w:r>
          </w:p>
        </w:tc>
        <w:tc>
          <w:tcPr>
            <w:tcW w:type="dxa" w:w="408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First commons assembly; first Phase Mirror diagnostic on the association itself</w:t>
            </w:r>
          </w:p>
        </w:tc>
        <w:tc>
          <w:tcPr>
            <w:tcW w:type="dxa" w:w="2200"/>
            <w:tcBorders>
              <w:top w:val="single" w:color="C9C2B4" w:sz="4"/>
              <w:left w:val="single" w:color="C9C2B4" w:sz="4"/>
              <w:bottom w:val="single" w:color="C9C2B4" w:sz="4"/>
              <w:right w:val="single" w:color="C9C2B4" w:sz="4"/>
            </w:tcBorders>
            <w:shd w:fill="FFFFFF"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1C1C1C"/>
                <w:sz w:val="18"/>
                <w:szCs w:val="18"/>
              </w:rPr>
              <w:t xml:space="preserve">Minutes + dissonance report</w:t>
            </w:r>
          </w:p>
        </w:tc>
      </w:tr>
    </w:tbl>
    <w:p>
      <w:pPr>
        <w:spacing w:after="160"/>
      </w:pPr>
    </w:p>
    <w:p>
      <w:pPr>
        <w:pStyle w:val="Heading1"/>
        <w:pBdr>
          <w:bottom w:val="single" w:color="0D5C63" w:sz="12" w:space="4"/>
        </w:pBdr>
        <w:spacing w:after="160" w:before="360"/>
      </w:pPr>
      <w:r>
        <w:rPr>
          <w:rFonts w:ascii="Calibri" w:cs="Calibri" w:eastAsia="Calibri" w:hAnsi="Calibri"/>
          <w:b/>
          <w:bCs/>
          <w:color w:val="0D5C63"/>
          <w:sz w:val="32"/>
          <w:szCs w:val="32"/>
        </w:rPr>
        <w:t xml:space="preserve">14. Administrators on day one</w:t>
      </w:r>
    </w:p>
    <w:p>
      <w:pPr>
        <w:spacing w:after="160" w:before="0" w:line="276"/>
        <w:jc w:val="left"/>
      </w:pPr>
      <w:r>
        <w:rPr>
          <w:rFonts w:ascii="Calibri" w:cs="Calibri" w:eastAsia="Calibri" w:hAnsi="Calibri"/>
          <w:b w:val="false"/>
          <w:bCs w:val="false"/>
          <w:i w:val="false"/>
          <w:iCs w:val="false"/>
          <w:color w:val="1C1C1C"/>
          <w:sz w:val="22"/>
          <w:szCs w:val="22"/>
        </w:rPr>
        <w:t xml:space="preserve">Statute requires a way to select administrators. Until the first commons assembly, the initial administrators are the persons who countersign this instrument. Their written authority is limited to: EIN and banking setup; agent appointment; register custody; contracting under USD 2,500; retaining counsel; publishing the member count. Everything else waits for a node or an assembly.</w:t>
      </w:r>
    </w:p>
    <w:p>
      <w:pPr>
        <w:pStyle w:val="Heading1"/>
        <w:pBdr>
          <w:bottom w:val="single" w:color="0D5C63" w:sz="12" w:space="4"/>
        </w:pBdr>
        <w:spacing w:after="160" w:before="360"/>
      </w:pPr>
      <w:r>
        <w:rPr>
          <w:rFonts w:ascii="Calibri" w:cs="Calibri" w:eastAsia="Calibri" w:hAnsi="Calibri"/>
          <w:b/>
          <w:bCs/>
          <w:color w:val="0D5C63"/>
          <w:sz w:val="32"/>
          <w:szCs w:val="32"/>
        </w:rPr>
        <w:t xml:space="preserve">15. Precision question</w:t>
      </w:r>
    </w:p>
    <w:p>
      <w:pPr>
        <w:spacing w:after="160" w:before="0" w:line="276"/>
        <w:jc w:val="left"/>
      </w:pPr>
      <w:r>
        <w:rPr>
          <w:rFonts w:ascii="Calibri" w:cs="Calibri" w:eastAsia="Calibri" w:hAnsi="Calibri"/>
          <w:b w:val="false"/>
          <w:bCs w:val="false"/>
          <w:i w:val="false"/>
          <w:iCs w:val="false"/>
          <w:color w:val="1C1C1C"/>
          <w:sz w:val="22"/>
          <w:szCs w:val="22"/>
        </w:rPr>
        <w:t xml:space="preserve">Does Citizen Gardens optimize first for reaching 100 members as fast as possible, or for standing one coherent Sovereignty Node whose metric card would survive a hostile reading?</w:t>
      </w:r>
    </w:p>
    <w:p>
      <w:pPr>
        <w:spacing w:after="160" w:before="0" w:line="276"/>
        <w:jc w:val="left"/>
      </w:pPr>
      <w:r>
        <w:rPr>
          <w:rFonts w:ascii="Calibri" w:cs="Calibri" w:eastAsia="Calibri" w:hAnsi="Calibri"/>
          <w:b w:val="false"/>
          <w:bCs w:val="false"/>
          <w:i w:val="false"/>
          <w:iCs w:val="false"/>
          <w:color w:val="1C1C1C"/>
          <w:sz w:val="22"/>
          <w:szCs w:val="22"/>
        </w:rPr>
        <w:t xml:space="preserve">Recommended binding: Node first. Membership floor second. A DUNA with 100 names and no working node is a list. A node with a public card can recruit without theater.</w:t>
      </w:r>
    </w:p>
    <w:p>
      <w:pPr>
        <w:pStyle w:val="Heading1"/>
        <w:pBdr>
          <w:bottom w:val="single" w:color="0D5C63" w:sz="12" w:space="4"/>
        </w:pBdr>
        <w:spacing w:after="160" w:before="360"/>
      </w:pPr>
      <w:r>
        <w:rPr>
          <w:rFonts w:ascii="Calibri" w:cs="Calibri" w:eastAsia="Calibri" w:hAnsi="Calibri"/>
          <w:b/>
          <w:bCs/>
          <w:color w:val="0D5C63"/>
          <w:sz w:val="32"/>
          <w:szCs w:val="32"/>
        </w:rPr>
        <w:t xml:space="preserve">16. Optional artifact</w:t>
      </w:r>
    </w:p>
    <w:p>
      <w:pPr>
        <w:spacing w:after="160" w:before="0" w:line="276"/>
        <w:jc w:val="left"/>
      </w:pPr>
      <w:r>
        <w:rPr>
          <w:rFonts w:ascii="Calibri" w:cs="Calibri" w:eastAsia="Calibri" w:hAnsi="Calibri"/>
          <w:b w:val="false"/>
          <w:bCs w:val="false"/>
          <w:i/>
          <w:iCs/>
          <w:color w:val="1C1C1C"/>
          <w:sz w:val="22"/>
          <w:szCs w:val="22"/>
        </w:rPr>
        <w:t xml:space="preserve">“When plans depend on hope, add a kill-switch. When kill-switches depend on hope, add a grace period. When grace periods depend on hope, stagger the cliffs.”</w:t>
      </w:r>
    </w:p>
    <w:p>
      <w:pPr>
        <w:pStyle w:val="Heading1"/>
        <w:pBdr>
          <w:bottom w:val="single" w:color="0D5C63" w:sz="12" w:space="4"/>
        </w:pBdr>
        <w:spacing w:after="160" w:before="360"/>
      </w:pPr>
      <w:r>
        <w:rPr>
          <w:rFonts w:ascii="Calibri" w:cs="Calibri" w:eastAsia="Calibri" w:hAnsi="Calibri"/>
          <w:b/>
          <w:bCs/>
          <w:color w:val="0D5C63"/>
          <w:sz w:val="32"/>
          <w:szCs w:val="32"/>
        </w:rPr>
        <w:t xml:space="preserve">17. Adoption block</w:t>
      </w:r>
    </w:p>
    <w:p>
      <w:pPr>
        <w:spacing w:after="160" w:before="0" w:line="276"/>
        <w:jc w:val="left"/>
      </w:pPr>
      <w:r>
        <w:rPr>
          <w:rFonts w:ascii="Calibri" w:cs="Calibri" w:eastAsia="Calibri" w:hAnsi="Calibri"/>
          <w:b w:val="false"/>
          <w:bCs w:val="false"/>
          <w:i w:val="false"/>
          <w:iCs w:val="false"/>
          <w:color w:val="1C1C1C"/>
          <w:sz w:val="22"/>
          <w:szCs w:val="22"/>
        </w:rPr>
        <w:t xml:space="preserve">By signing, the undersigned adopt these Governing Principles as the governing principles of Citizen Gardens, a Wyoming decentralized unincorporated nonprofit association (or, until the statutory member floor is met, a Wyoming unincorporated nonprofit association operating under the same principles).</w:t>
      </w:r>
    </w:p>
    <w:p>
      <w:pPr>
        <w:spacing w:after="200"/>
      </w:pPr>
    </w:p>
    <w:p>
      <w:pPr>
        <w:spacing w:after="80" w:before="0" w:line="276"/>
        <w:jc w:val="left"/>
      </w:pPr>
      <w:r>
        <w:rPr>
          <w:rFonts w:ascii="Calibri" w:cs="Calibri" w:eastAsia="Calibri" w:hAnsi="Calibri"/>
          <w:b w:val="false"/>
          <w:bCs w:val="false"/>
          <w:i w:val="false"/>
          <w:iCs w:val="false"/>
          <w:color w:val="1C1C1C"/>
          <w:sz w:val="22"/>
          <w:szCs w:val="22"/>
        </w:rPr>
        <w:t xml:space="preserve">Name: ________________________________    Role: ________________</w:t>
      </w:r>
    </w:p>
    <w:p>
      <w:pPr>
        <w:spacing w:after="240" w:before="0" w:line="276"/>
        <w:jc w:val="left"/>
      </w:pPr>
      <w:r>
        <w:rPr>
          <w:rFonts w:ascii="Calibri" w:cs="Calibri" w:eastAsia="Calibri" w:hAnsi="Calibri"/>
          <w:b w:val="false"/>
          <w:bCs w:val="false"/>
          <w:i w:val="false"/>
          <w:iCs w:val="false"/>
          <w:color w:val="1C1C1C"/>
          <w:sz w:val="22"/>
          <w:szCs w:val="22"/>
        </w:rPr>
        <w:t xml:space="preserve">Signature: _____________________________    Date: ________________</w:t>
      </w:r>
    </w:p>
    <w:p>
      <w:pPr>
        <w:spacing w:after="80" w:before="0" w:line="276"/>
        <w:jc w:val="left"/>
      </w:pPr>
      <w:r>
        <w:rPr>
          <w:rFonts w:ascii="Calibri" w:cs="Calibri" w:eastAsia="Calibri" w:hAnsi="Calibri"/>
          <w:b w:val="false"/>
          <w:bCs w:val="false"/>
          <w:i w:val="false"/>
          <w:iCs w:val="false"/>
          <w:color w:val="1C1C1C"/>
          <w:sz w:val="22"/>
          <w:szCs w:val="22"/>
        </w:rPr>
        <w:t xml:space="preserve">Name: ________________________________    Role: ________________</w:t>
      </w:r>
    </w:p>
    <w:p>
      <w:pPr>
        <w:spacing w:after="240" w:before="0" w:line="276"/>
        <w:jc w:val="left"/>
      </w:pPr>
      <w:r>
        <w:rPr>
          <w:rFonts w:ascii="Calibri" w:cs="Calibri" w:eastAsia="Calibri" w:hAnsi="Calibri"/>
          <w:b w:val="false"/>
          <w:bCs w:val="false"/>
          <w:i w:val="false"/>
          <w:iCs w:val="false"/>
          <w:color w:val="1C1C1C"/>
          <w:sz w:val="22"/>
          <w:szCs w:val="22"/>
        </w:rPr>
        <w:t xml:space="preserve">Signature: _____________________________    Date: ________________</w:t>
      </w:r>
    </w:p>
    <w:p>
      <w:pPr>
        <w:spacing w:after="80" w:before="0" w:line="276"/>
        <w:jc w:val="left"/>
      </w:pPr>
      <w:r>
        <w:rPr>
          <w:rFonts w:ascii="Calibri" w:cs="Calibri" w:eastAsia="Calibri" w:hAnsi="Calibri"/>
          <w:b w:val="false"/>
          <w:bCs w:val="false"/>
          <w:i w:val="false"/>
          <w:iCs w:val="false"/>
          <w:color w:val="1C1C1C"/>
          <w:sz w:val="22"/>
          <w:szCs w:val="22"/>
        </w:rPr>
        <w:t xml:space="preserve">Name: ________________________________    Role: ________________</w:t>
      </w:r>
    </w:p>
    <w:p>
      <w:pPr>
        <w:spacing w:after="240" w:before="0" w:line="276"/>
        <w:jc w:val="left"/>
      </w:pPr>
      <w:r>
        <w:rPr>
          <w:rFonts w:ascii="Calibri" w:cs="Calibri" w:eastAsia="Calibri" w:hAnsi="Calibri"/>
          <w:b w:val="false"/>
          <w:bCs w:val="false"/>
          <w:i w:val="false"/>
          <w:iCs w:val="false"/>
          <w:color w:val="1C1C1C"/>
          <w:sz w:val="22"/>
          <w:szCs w:val="22"/>
        </w:rPr>
        <w:t xml:space="preserve">Signature: _____________________________    Date: ________________</w:t>
      </w:r>
    </w:p>
    <w:p>
      <w:pPr>
        <w:spacing w:after="280" w:before="0" w:line="276"/>
        <w:jc w:val="left"/>
      </w:pPr>
      <w:r>
        <w:rPr>
          <w:rFonts w:ascii="Calibri" w:cs="Calibri" w:eastAsia="Calibri" w:hAnsi="Calibri"/>
          <w:b w:val="false"/>
          <w:bCs w:val="false"/>
          <w:i w:val="false"/>
          <w:iCs w:val="false"/>
          <w:color w:val="1C1C1C"/>
          <w:sz w:val="22"/>
          <w:szCs w:val="22"/>
        </w:rPr>
        <w:t xml:space="preserve">Witness / counsel: ______________________    Date: ________________</w:t>
      </w:r>
    </w:p>
    <w:p>
      <w:pPr>
        <w:spacing w:after="160" w:before="0" w:line="276"/>
        <w:jc w:val="left"/>
      </w:pPr>
      <w:r>
        <w:rPr>
          <w:rFonts w:ascii="Calibri" w:cs="Calibri" w:eastAsia="Calibri" w:hAnsi="Calibri"/>
          <w:b w:val="false"/>
          <w:bCs w:val="false"/>
          <w:i w:val="false"/>
          <w:iCs w:val="false"/>
          <w:color w:val="5A5A5A"/>
          <w:sz w:val="18"/>
          <w:szCs w:val="18"/>
        </w:rPr>
        <w:t xml:space="preserve">Content hash field (complete on adoption): LawfulRecursionHash ________</w:t>
      </w:r>
    </w:p>
    <w:p>
      <w:pPr>
        <w:spacing w:after="160" w:before="0" w:line="276"/>
        <w:jc w:val="left"/>
      </w:pPr>
      <w:r>
        <w:rPr>
          <w:rFonts w:ascii="Calibri" w:cs="Calibri" w:eastAsia="Calibri" w:hAnsi="Calibri"/>
          <w:b w:val="false"/>
          <w:bCs w:val="false"/>
          <w:i w:val="false"/>
          <w:iCs w:val="false"/>
          <w:color w:val="5A5A5A"/>
          <w:sz w:val="18"/>
          <w:szCs w:val="18"/>
        </w:rPr>
        <w:t xml:space="preserve">LawfulRecursionVersion: 1.0</w:t>
      </w:r>
    </w:p>
    <w:p>
      <w:pPr>
        <w:spacing w:after="80" w:before="0" w:line="276"/>
        <w:jc w:val="left"/>
      </w:pPr>
      <w:r>
        <w:rPr>
          <w:rFonts w:ascii="Calibri" w:cs="Calibri" w:eastAsia="Calibri" w:hAnsi="Calibri"/>
          <w:b w:val="false"/>
          <w:bCs w:val="false"/>
          <w:i/>
          <w:iCs/>
          <w:color w:val="5A5A5A"/>
          <w:sz w:val="18"/>
          <w:szCs w:val="18"/>
        </w:rPr>
        <w:t xml:space="preserve">This draft incorporates Citizen Gardens mission language, existing articles/bylaws drafts, Phase Mirror operating loop, Buurtzorg team topology, Bushidō as operator duty, and Wyoming DUNA statutory constraints as publicly summarized. It is not a substitute for licensed legal advice in Wyoming or in any state where nodes operate.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2B4" w:sz="6" w:space="6"/>
      </w:pBdr>
      <w:spacing w:before="80"/>
    </w:pPr>
    <w:r>
      <w:rPr>
        <w:rFonts w:ascii="Calibri" w:cs="Calibri" w:eastAsia="Calibri" w:hAnsi="Calibri"/>
        <w:i/>
        <w:iCs/>
        <w:color w:val="5A5A5A"/>
        <w:sz w:val="16"/>
        <w:szCs w:val="16"/>
      </w:rPr>
      <w:t xml:space="preserve">Draft instrument — not legal advice. Counsel must review before adoption.   </w:t>
    </w: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C63" w:sz="8" w:space="6"/>
      </w:pBdr>
      <w:spacing w:after="80"/>
    </w:pPr>
    <w:r>
      <w:rPr>
        <w:rFonts w:ascii="Calibri" w:cs="Calibri" w:eastAsia="Calibri" w:hAnsi="Calibri"/>
        <w:b/>
        <w:bCs/>
        <w:color w:val="0D5C63"/>
        <w:sz w:val="16"/>
        <w:szCs w:val="16"/>
      </w:rPr>
      <w:t xml:space="preserve">CITIZEN GARDENS  ·  DUNA GOVERNING PRINCIPLES</w:t>
    </w:r>
    <w:r>
      <w:rPr>
        <w:rFonts w:ascii="Calibri" w:cs="Calibri" w:eastAsia="Calibri" w:hAnsi="Calibri"/>
        <w:color w:val="5A5A5A"/>
        <w:sz w:val="16"/>
        <w:szCs w:val="16"/>
      </w:rPr>
      <w:t xml:space="preserve">    v1.0  ·  1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abstractNum w:abstractNumId="7"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D5C63"/>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D5C6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A4A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2026-09-01T21:39:54.074Z</dcterms:created>
  <dcterms:modified xsi:type="dcterms:W3CDTF">2026-09-01T21:39:54.074Z</dcterms:modified>
</cp:coreProperties>
</file>

<file path=docProps/custom.xml><?xml version="1.0" encoding="utf-8"?>
<Properties xmlns="http://schemas.openxmlformats.org/officeDocument/2006/custom-properties" xmlns:vt="http://schemas.openxmlformats.org/officeDocument/2006/docPropsVTypes"/>
</file>