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2F6F5E"/>
          <w:sz w:val="36"/>
          <w:szCs w:val="36"/>
        </w:rPr>
        <w:t xml:space="preserve">CITIZEN GARDENS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B3A2F"/>
          <w:sz w:val="30"/>
          <w:szCs w:val="30"/>
        </w:rPr>
        <w:t xml:space="preserve">UCC as a Service — Year One Roadmap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color w:val="8A6D3B"/>
          <w:sz w:val="20"/>
          <w:szCs w:val="20"/>
        </w:rPr>
        <w:t xml:space="preserve">Universal Closure Calculator  ·  Operator product  ·  2 September 2026 – 2 September 2027</w:t>
      </w:r>
    </w:p>
    <w:p>
      <w:pPr>
        <w:spacing w:after="18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6F5E"/>
          <w:sz w:val="18"/>
          <w:szCs w:val="18"/>
        </w:rPr>
        <w:t xml:space="preserve">Companion to Unified Civic Infrastructure Outline v1.1 and The Universal Closure Calculator (July 2026). LawfulRecursionVersion 1.0. UAC chemistry claims stay research-path until a partner queue exists.</w:t>
      </w:r>
    </w:p>
    <w:p>
      <w:pPr>
        <w:pStyle w:val="Heading1"/>
        <w:pBdr>
          <w:bottom w:val="single" w:color="2F6F5E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2F6F5E"/>
          <w:sz w:val="28"/>
          <w:szCs w:val="28"/>
        </w:rPr>
        <w:t xml:space="preserve">1. Product in one sentence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F"/>
          <w:sz w:val="22"/>
          <w:szCs w:val="22"/>
        </w:rPr>
        <w:t xml:space="preserve">A caller submits a partial system. The hosted kernel returns the smallest lawful closure, a named defect Δ if composition is not lawful, a versioned receipt, and levers — not a vibe, not a proof of the Riemann Hypothesis, not a diploma.</w:t>
      </w:r>
    </w:p>
    <w:p>
      <w:pPr>
        <w:pStyle w:val="Heading1"/>
        <w:pBdr>
          <w:bottom w:val="single" w:color="2F6F5E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2F6F5E"/>
          <w:sz w:val="28"/>
          <w:szCs w:val="28"/>
        </w:rPr>
        <w:t xml:space="preserve">2. Non-goals for year one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F"/>
          <w:sz w:val="21"/>
          <w:szCs w:val="21"/>
        </w:rPr>
        <w:t xml:space="preserve">Do not sell FeMoco / 100-way MA-VQE / 69-qubit concurrency. That is UAC. It waits on a partner.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F"/>
          <w:sz w:val="21"/>
          <w:szCs w:val="21"/>
        </w:rPr>
        <w:t xml:space="preserve">Do not sell “UCC proves RH.” The paper may argue lawfulness ⇔ Li ⇔ RH. The SLA is kernel version, latency, and receipt integrity.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F"/>
          <w:sz w:val="21"/>
          <w:szCs w:val="21"/>
        </w:rPr>
        <w:t xml:space="preserve">Do not put the kernel on the UNA balance sheet. Operator hosts. UNA holds the literary definition and receives remittance.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F"/>
          <w:sz w:val="21"/>
          <w:szCs w:val="21"/>
        </w:rPr>
        <w:t xml:space="preserve">Do not issue PMCP because someone paid for seats or equity.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F"/>
          <w:sz w:val="21"/>
          <w:szCs w:val="21"/>
        </w:rPr>
        <w:t xml:space="preserve">Do not buy or house a neutral-atom array.</w:t>
      </w:r>
    </w:p>
    <w:p>
      <w:pPr>
        <w:pStyle w:val="Heading1"/>
        <w:pBdr>
          <w:bottom w:val="single" w:color="2F6F5E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2F6F5E"/>
          <w:sz w:val="28"/>
          <w:szCs w:val="28"/>
        </w:rPr>
        <w:t xml:space="preserve">3. What ships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F"/>
          <w:sz w:val="22"/>
          <w:szCs w:val="22"/>
        </w:rPr>
        <w:t xml:space="preserve">Four artifacts, every call: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F"/>
          <w:sz w:val="21"/>
          <w:szCs w:val="21"/>
        </w:rPr>
        <w:t xml:space="preserve">Closure — completed relation under lawful composition (Dirichlet / union-find kernel).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F"/>
          <w:sz w:val="21"/>
          <w:szCs w:val="21"/>
        </w:rPr>
        <w:t xml:space="preserve">Defect — Δ = 0 or Δ named in English a node can act on.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F"/>
          <w:sz w:val="21"/>
          <w:szCs w:val="21"/>
        </w:rPr>
        <w:t xml:space="preserve">Receipt — input hash + kernel version + Lean/Kani build id + timestamp. Optional attestation later.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F"/>
          <w:sz w:val="21"/>
          <w:szCs w:val="21"/>
        </w:rPr>
        <w:t xml:space="preserve">Levers — [Owner] — action — metric — horizon when Δ ≠ 0.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F"/>
          <w:sz w:val="22"/>
          <w:szCs w:val="22"/>
        </w:rPr>
        <w:t xml:space="preserve">First two live objects the kernel must close before any outside customer: (1) a Civic R&amp;D spend over $2,500; (2) a credit exchange against Governing Principles §6.4 caps. If those fail, there is no service.</w:t>
      </w:r>
    </w:p>
    <w:p>
      <w:pPr>
        <w:pStyle w:val="Heading1"/>
        <w:pBdr>
          <w:bottom w:val="single" w:color="2F6F5E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2F6F5E"/>
          <w:sz w:val="28"/>
          <w:szCs w:val="28"/>
        </w:rPr>
        <w:t xml:space="preserve">4. Layers versus quarters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600"/>
        <w:gridCol w:w="3600"/>
      </w:tblGrid>
      <w:tr>
        <w:trPr>
          <w:tblHeader/>
        </w:trPr>
        <w:tc>
          <w:tcPr>
            <w:tcW w:type="dxa" w:w="288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2F6F5E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Paper layer</w:t>
            </w:r>
          </w:p>
        </w:tc>
        <w:tc>
          <w:tcPr>
            <w:tcW w:type="dxa" w:w="360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2F6F5E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Year-one job</w:t>
            </w:r>
          </w:p>
        </w:tc>
        <w:tc>
          <w:tcPr>
            <w:tcW w:type="dxa" w:w="360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2F6F5E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Done when</w:t>
            </w:r>
          </w:p>
        </w:tc>
      </w:tr>
      <w:tr>
        <w:tc>
          <w:tcPr>
            <w:tcW w:type="dxa" w:w="288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Sextuple + Lean surface</w:t>
            </w:r>
          </w:p>
        </w:tc>
        <w:tc>
          <w:tcPr>
            <w:tcW w:type="dxa" w:w="360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Public spec of (X, ∘, α, μ, F, Δ) as an input schema</w:t>
            </w:r>
          </w:p>
        </w:tc>
        <w:tc>
          <w:tcPr>
            <w:tcW w:type="dxa" w:w="360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One page + example JSON; RH sentence stays in the paper</w:t>
            </w:r>
          </w:p>
        </w:tc>
      </w:tr>
      <w:tr>
        <w:tc>
          <w:tcPr>
            <w:tcW w:type="dxa" w:w="288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E8F0E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Rust completion kernel + Kani</w:t>
            </w:r>
          </w:p>
        </w:tc>
        <w:tc>
          <w:tcPr>
            <w:tcW w:type="dxa" w:w="360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E8F0E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Hosted kernel, versioned, logged</w:t>
            </w:r>
          </w:p>
        </w:tc>
        <w:tc>
          <w:tcPr>
            <w:tcW w:type="dxa" w:w="360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E8F0E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Kani harness green on lawfulness: kernel never adds an unlawful composition</w:t>
            </w:r>
          </w:p>
        </w:tc>
      </w:tr>
      <w:tr>
        <w:tc>
          <w:tcPr>
            <w:tcW w:type="dxa" w:w="288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Physics / Rydberg</w:t>
            </w:r>
          </w:p>
        </w:tc>
        <w:tc>
          <w:tcPr>
            <w:tcW w:type="dxa" w:w="360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Optional calibration adapter, not the product</w:t>
            </w:r>
          </w:p>
        </w:tc>
        <w:tc>
          <w:tcPr>
            <w:tcW w:type="dxa" w:w="360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One documented analog job via cloud partner or a written deferral</w:t>
            </w:r>
          </w:p>
        </w:tc>
      </w:tr>
      <w:tr>
        <w:tc>
          <w:tcPr>
            <w:tcW w:type="dxa" w:w="288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E8F0E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EVM attestation</w:t>
            </w:r>
          </w:p>
        </w:tc>
        <w:tc>
          <w:tcPr>
            <w:tcW w:type="dxa" w:w="360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E8F0E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Receipt first; chain later</w:t>
            </w:r>
          </w:p>
        </w:tc>
        <w:tc>
          <w:tcPr>
            <w:tcW w:type="dxa" w:w="360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E8F0E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Off-chain signed receipt in Q2; testnet attest only if a paying user asks</w:t>
            </w:r>
          </w:p>
        </w:tc>
      </w:tr>
      <w:tr>
        <w:tc>
          <w:tcPr>
            <w:tcW w:type="dxa" w:w="288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Intertwiner / Multiplicity</w:t>
            </w:r>
          </w:p>
        </w:tc>
        <w:tc>
          <w:tcPr>
            <w:tcW w:type="dxa" w:w="360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Embed 2R+1 and credit caps as a closure class</w:t>
            </w:r>
          </w:p>
        </w:tc>
        <w:tc>
          <w:tcPr>
            <w:tcW w:type="dxa" w:w="360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§6.4 exchange is a passing test, not a slide</w:t>
            </w:r>
          </w:p>
        </w:tc>
      </w:tr>
    </w:tbl>
    <w:p>
      <w:pPr>
        <w:pStyle w:val="Heading1"/>
        <w:pBdr>
          <w:bottom w:val="single" w:color="2F6F5E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2F6F5E"/>
          <w:sz w:val="28"/>
          <w:szCs w:val="28"/>
        </w:rPr>
        <w:t xml:space="preserve">5. Quarter map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3A2F"/>
          <w:sz w:val="24"/>
          <w:szCs w:val="24"/>
        </w:rPr>
        <w:t xml:space="preserve">Q0 — Days 0–30  ·  Existence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F"/>
          <w:sz w:val="21"/>
          <w:szCs w:val="21"/>
        </w:rPr>
        <w:t xml:space="preserve">Operator LLC live. Separate EIN and bank. Dual control $2,500.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F"/>
          <w:sz w:val="21"/>
          <w:szCs w:val="21"/>
        </w:rPr>
        <w:t xml:space="preserve">Freeze UAC public claims to “research path / partner-dependent.”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F"/>
          <w:sz w:val="21"/>
          <w:szCs w:val="21"/>
        </w:rPr>
        <w:t xml:space="preserve">UCC API sketch: POST /close {system} → {closure, delta, receipt, levers}.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F"/>
          <w:sz w:val="21"/>
          <w:szCs w:val="21"/>
        </w:rPr>
        <w:t xml:space="preserve">Repo hygiene: kernel version tag, LawfulRecursionVersion 1.0 cited.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F"/>
          <w:sz w:val="21"/>
          <w:szCs w:val="21"/>
        </w:rPr>
        <w:t xml:space="preserve">Two founders sign Governing Principles if not already signed.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F"/>
          <w:sz w:val="22"/>
          <w:szCs w:val="22"/>
        </w:rPr>
        <w:t xml:space="preserve">Exit gate: a local CLI closes a toy system and prints Δ in English. No website required.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3A2F"/>
          <w:sz w:val="24"/>
          <w:szCs w:val="24"/>
        </w:rPr>
        <w:t xml:space="preserve">Q1 — Days 31–90  ·  Civic dogfood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F"/>
          <w:sz w:val="21"/>
          <w:szCs w:val="21"/>
        </w:rPr>
        <w:t xml:space="preserve">Host the kernel behind one API key. WORM log of calls.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F"/>
          <w:sz w:val="21"/>
          <w:szCs w:val="21"/>
        </w:rPr>
        <w:t xml:space="preserve">Dogfood A: node spend &gt; $2,500. Dogfood B: credit exchange vs §6.4.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F"/>
          <w:sz w:val="21"/>
          <w:szCs w:val="21"/>
        </w:rPr>
        <w:t xml:space="preserve">Phase Mirror wrapper: Δ ≠ 0 returns levers, not “align.”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F"/>
          <w:sz w:val="21"/>
          <w:szCs w:val="21"/>
        </w:rPr>
        <w:t xml:space="preserve">Open-core Lean modules published or clearly embargoed — pick one and write it down.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F"/>
          <w:sz w:val="21"/>
          <w:szCs w:val="21"/>
        </w:rPr>
        <w:t xml:space="preserve">SKU draft: Community (self-host core, no receipt) / Pro (hosted + receipt) / none other.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F"/>
          <w:sz w:val="22"/>
          <w:szCs w:val="22"/>
        </w:rPr>
        <w:t xml:space="preserve">Exit gate: both civic objects produce a stored receipt. First remittance line exists even if the amount is $0 labeled remittance.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3A2F"/>
          <w:sz w:val="24"/>
          <w:szCs w:val="24"/>
        </w:rPr>
        <w:t xml:space="preserve">Q2 — Days 91–180  ·  First outside caller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F"/>
          <w:sz w:val="21"/>
          <w:szCs w:val="21"/>
        </w:rPr>
        <w:t xml:space="preserve">One paying or sponsored caller who is not a founder. Same gates if they want PMCP.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F"/>
          <w:sz w:val="21"/>
          <w:szCs w:val="21"/>
        </w:rPr>
        <w:t xml:space="preserve">SLA v0: availability target, max kernel version drift, receipt retention (7 years stated, 1 year implemented).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F"/>
          <w:sz w:val="21"/>
          <w:szCs w:val="21"/>
        </w:rPr>
        <w:t xml:space="preserve">Examiner firewall posted: ≥10% operator or board seat cannot examine.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F"/>
          <w:sz w:val="21"/>
          <w:szCs w:val="21"/>
        </w:rPr>
        <w:t xml:space="preserve">Attestation: signed off-chain receipt. No mainnet until a user pays for it.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F"/>
          <w:sz w:val="21"/>
          <w:szCs w:val="21"/>
        </w:rPr>
        <w:t xml:space="preserve">Kill UAC language on the legal page and sales sheet.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F"/>
          <w:sz w:val="22"/>
          <w:szCs w:val="22"/>
        </w:rPr>
        <w:t xml:space="preserve">Exit gate: 10 closures that are not self-tests. One written defect that changed a real decision.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3A2F"/>
          <w:sz w:val="24"/>
          <w:szCs w:val="24"/>
        </w:rPr>
        <w:t xml:space="preserve">Q3 — Days 181–270  ·  Harden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F"/>
          <w:sz w:val="21"/>
          <w:szCs w:val="21"/>
        </w:rPr>
        <w:t xml:space="preserve">Rate limits, key rotation, isolation of tenant systems.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F"/>
          <w:sz w:val="21"/>
          <w:szCs w:val="21"/>
        </w:rPr>
        <w:t xml:space="preserve">Compliance pack outline (not a full ISO theater): who can see inputs, how withdrawal of consent hits stored systems.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F"/>
          <w:sz w:val="21"/>
          <w:szCs w:val="21"/>
        </w:rPr>
        <w:t xml:space="preserve">Optional Rydberg adapter: one cloud analog job, or a dated memo that physics stays deferred.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F"/>
          <w:sz w:val="21"/>
          <w:szCs w:val="21"/>
        </w:rPr>
        <w:t xml:space="preserve">PMCP playbook page: “how a provider submits a client system to UCC.”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F"/>
          <w:sz w:val="22"/>
          <w:szCs w:val="22"/>
        </w:rPr>
        <w:t xml:space="preserve">Exit gate: a stranger can call the API from the public spec without a founder on the Zoom.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3A2F"/>
          <w:sz w:val="24"/>
          <w:szCs w:val="24"/>
        </w:rPr>
        <w:t xml:space="preserve">Q4 — Days 271–365  ·  Year-one close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F"/>
          <w:sz w:val="21"/>
          <w:szCs w:val="21"/>
        </w:rPr>
        <w:t xml:space="preserve">Published kernel version + changelog. LawfulRecursionHash filled.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F"/>
          <w:sz w:val="21"/>
          <w:szCs w:val="21"/>
        </w:rPr>
        <w:t xml:space="preserve">Year-one metric card: closures run, Δ≠0 rate, civic objects closed, remittance paid, uptime.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F"/>
          <w:sz w:val="21"/>
          <w:szCs w:val="21"/>
        </w:rPr>
        <w:t xml:space="preserve">Decide keep / widen / pause. Pause if the kernel cannot stay lawful under load or if sales require RH claims.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F"/>
          <w:sz w:val="21"/>
          <w:szCs w:val="21"/>
        </w:rPr>
        <w:t xml:space="preserve">UAC remains a research SKU only if a partner queue and a classical baseline exist.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F"/>
          <w:sz w:val="22"/>
          <w:szCs w:val="22"/>
        </w:rPr>
        <w:t xml:space="preserve">Exit gate: a public year-one card a hostile reader would still accept.</w:t>
      </w:r>
    </w:p>
    <w:p>
      <w:pPr>
        <w:pStyle w:val="Heading1"/>
        <w:pBdr>
          <w:bottom w:val="single" w:color="2F6F5E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2F6F5E"/>
          <w:sz w:val="28"/>
          <w:szCs w:val="28"/>
        </w:rPr>
        <w:t xml:space="preserve">6. People (do not hire a physics faculty line)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520"/>
        <w:gridCol w:w="4680"/>
      </w:tblGrid>
      <w:tr>
        <w:trPr>
          <w:tblHeader/>
        </w:trPr>
        <w:tc>
          <w:tcPr>
            <w:tcW w:type="dxa" w:w="288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2F6F5E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Seat</w:t>
            </w:r>
          </w:p>
        </w:tc>
        <w:tc>
          <w:tcPr>
            <w:tcW w:type="dxa" w:w="252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2F6F5E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468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2F6F5E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Job</w:t>
            </w:r>
          </w:p>
        </w:tc>
      </w:tr>
      <w:tr>
        <w:tc>
          <w:tcPr>
            <w:tcW w:type="dxa" w:w="288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Founder / product</w:t>
            </w:r>
          </w:p>
        </w:tc>
        <w:tc>
          <w:tcPr>
            <w:tcW w:type="dxa" w:w="252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Day 0</w:t>
            </w:r>
          </w:p>
        </w:tc>
        <w:tc>
          <w:tcPr>
            <w:tcW w:type="dxa" w:w="468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Spec, dogfood, freeze UAC claims</w:t>
            </w:r>
          </w:p>
        </w:tc>
      </w:tr>
      <w:tr>
        <w:tc>
          <w:tcPr>
            <w:tcW w:type="dxa" w:w="288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E8F0E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Kernel engineer (fractional OK)</w:t>
            </w:r>
          </w:p>
        </w:tc>
        <w:tc>
          <w:tcPr>
            <w:tcW w:type="dxa" w:w="252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E8F0E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Q0–Q1</w:t>
            </w:r>
          </w:p>
        </w:tc>
        <w:tc>
          <w:tcPr>
            <w:tcW w:type="dxa" w:w="468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E8F0E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Rust kernel, Kani harness, API</w:t>
            </w:r>
          </w:p>
        </w:tc>
      </w:tr>
      <w:tr>
        <w:tc>
          <w:tcPr>
            <w:tcW w:type="dxa" w:w="288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Operator admin</w:t>
            </w:r>
          </w:p>
        </w:tc>
        <w:tc>
          <w:tcPr>
            <w:tcW w:type="dxa" w:w="252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Q0</w:t>
            </w:r>
          </w:p>
        </w:tc>
        <w:tc>
          <w:tcPr>
            <w:tcW w:type="dxa" w:w="468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EIN, keys, dual control, remittance log</w:t>
            </w:r>
          </w:p>
        </w:tc>
      </w:tr>
      <w:tr>
        <w:tc>
          <w:tcPr>
            <w:tcW w:type="dxa" w:w="288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E8F0E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Examiner function</w:t>
            </w:r>
          </w:p>
        </w:tc>
        <w:tc>
          <w:tcPr>
            <w:tcW w:type="dxa" w:w="252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E8F0E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Q2</w:t>
            </w:r>
          </w:p>
        </w:tc>
        <w:tc>
          <w:tcPr>
            <w:tcW w:type="dxa" w:w="468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E8F0E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Conflict rule; not a full-time hire</w:t>
            </w:r>
          </w:p>
        </w:tc>
      </w:tr>
      <w:tr>
        <w:tc>
          <w:tcPr>
            <w:tcW w:type="dxa" w:w="288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Chemist / AMO</w:t>
            </w:r>
          </w:p>
        </w:tc>
        <w:tc>
          <w:tcPr>
            <w:tcW w:type="dxa" w:w="252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Not year one unless a partner pays</w:t>
            </w:r>
          </w:p>
        </w:tc>
        <w:tc>
          <w:tcPr>
            <w:tcW w:type="dxa" w:w="468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UAC path only</w:t>
            </w:r>
          </w:p>
        </w:tc>
      </w:tr>
    </w:tbl>
    <w:p>
      <w:pPr>
        <w:pStyle w:val="Heading1"/>
        <w:pBdr>
          <w:bottom w:val="single" w:color="2F6F5E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2F6F5E"/>
          <w:sz w:val="28"/>
          <w:szCs w:val="28"/>
        </w:rPr>
        <w:t xml:space="preserve">7. Money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1620"/>
        <w:gridCol w:w="1980"/>
        <w:gridCol w:w="3240"/>
      </w:tblGrid>
      <w:tr>
        <w:trPr>
          <w:tblHeader/>
        </w:trPr>
        <w:tc>
          <w:tcPr>
            <w:tcW w:type="dxa" w:w="324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2F6F5E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Bucket</w:t>
            </w:r>
          </w:p>
        </w:tc>
        <w:tc>
          <w:tcPr>
            <w:tcW w:type="dxa" w:w="162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2F6F5E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198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2F6F5E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Plausible</w:t>
            </w:r>
          </w:p>
        </w:tc>
        <w:tc>
          <w:tcPr>
            <w:tcW w:type="dxa" w:w="324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2F6F5E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Holds it</w:t>
            </w:r>
          </w:p>
        </w:tc>
      </w:tr>
      <w:tr>
        <w:tc>
          <w:tcPr>
            <w:tcW w:type="dxa" w:w="324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Legal + LLC + agent + insurance</w:t>
            </w:r>
          </w:p>
        </w:tc>
        <w:tc>
          <w:tcPr>
            <w:tcW w:type="dxa" w:w="162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$5k</w:t>
            </w:r>
          </w:p>
        </w:tc>
        <w:tc>
          <w:tcPr>
            <w:tcW w:type="dxa" w:w="198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$20k</w:t>
            </w:r>
          </w:p>
        </w:tc>
        <w:tc>
          <w:tcPr>
            <w:tcW w:type="dxa" w:w="324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Split: UNA filings / operator filings</w:t>
            </w:r>
          </w:p>
        </w:tc>
      </w:tr>
      <w:tr>
        <w:tc>
          <w:tcPr>
            <w:tcW w:type="dxa" w:w="324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E8F0E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Kernel hosting + logs + domain</w:t>
            </w:r>
          </w:p>
        </w:tc>
        <w:tc>
          <w:tcPr>
            <w:tcW w:type="dxa" w:w="162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E8F0E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$2k</w:t>
            </w:r>
          </w:p>
        </w:tc>
        <w:tc>
          <w:tcPr>
            <w:tcW w:type="dxa" w:w="198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E8F0E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$12k</w:t>
            </w:r>
          </w:p>
        </w:tc>
        <w:tc>
          <w:tcPr>
            <w:tcW w:type="dxa" w:w="324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E8F0E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Operator</w:t>
            </w:r>
          </w:p>
        </w:tc>
      </w:tr>
      <w:tr>
        <w:tc>
          <w:tcPr>
            <w:tcW w:type="dxa" w:w="324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Fractional engineer (6–12 mo)</w:t>
            </w:r>
          </w:p>
        </w:tc>
        <w:tc>
          <w:tcPr>
            <w:tcW w:type="dxa" w:w="162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$30k</w:t>
            </w:r>
          </w:p>
        </w:tc>
        <w:tc>
          <w:tcPr>
            <w:tcW w:type="dxa" w:w="198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$120k</w:t>
            </w:r>
          </w:p>
        </w:tc>
        <w:tc>
          <w:tcPr>
            <w:tcW w:type="dxa" w:w="324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Operator</w:t>
            </w:r>
          </w:p>
        </w:tc>
      </w:tr>
      <w:tr>
        <w:tc>
          <w:tcPr>
            <w:tcW w:type="dxa" w:w="324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E8F0E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Civic dogfood (node envelope)</w:t>
            </w:r>
          </w:p>
        </w:tc>
        <w:tc>
          <w:tcPr>
            <w:tcW w:type="dxa" w:w="162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E8F0E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$5k</w:t>
            </w:r>
          </w:p>
        </w:tc>
        <w:tc>
          <w:tcPr>
            <w:tcW w:type="dxa" w:w="198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E8F0E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$25k</w:t>
            </w:r>
          </w:p>
        </w:tc>
        <w:tc>
          <w:tcPr>
            <w:tcW w:type="dxa" w:w="324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E8F0E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UNA</w:t>
            </w:r>
          </w:p>
        </w:tc>
      </w:tr>
      <w:tr>
        <w:tc>
          <w:tcPr>
            <w:tcW w:type="dxa" w:w="324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Cloud QPU (optional)</w:t>
            </w:r>
          </w:p>
        </w:tc>
        <w:tc>
          <w:tcPr>
            <w:tcW w:type="dxa" w:w="162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$0</w:t>
            </w:r>
          </w:p>
        </w:tc>
        <w:tc>
          <w:tcPr>
            <w:tcW w:type="dxa" w:w="198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$15k</w:t>
            </w:r>
          </w:p>
        </w:tc>
        <w:tc>
          <w:tcPr>
            <w:tcW w:type="dxa" w:w="324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Operator, labeled calibration</w:t>
            </w:r>
          </w:p>
        </w:tc>
      </w:tr>
      <w:tr>
        <w:tc>
          <w:tcPr>
            <w:tcW w:type="dxa" w:w="324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E8F0E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Year-one total</w:t>
            </w:r>
          </w:p>
        </w:tc>
        <w:tc>
          <w:tcPr>
            <w:tcW w:type="dxa" w:w="162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E8F0E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$40k</w:t>
            </w:r>
          </w:p>
        </w:tc>
        <w:tc>
          <w:tcPr>
            <w:tcW w:type="dxa" w:w="198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E8F0E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$180k</w:t>
            </w:r>
          </w:p>
        </w:tc>
        <w:tc>
          <w:tcPr>
            <w:tcW w:type="dxa" w:w="324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E8F0E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Do not mix treasuries</w:t>
            </w:r>
          </w:p>
        </w:tc>
      </w:tr>
    </w:tbl>
    <w:p>
      <w:pPr>
        <w:spacing w:after="120"/>
      </w:pP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F"/>
          <w:sz w:val="22"/>
          <w:szCs w:val="22"/>
        </w:rPr>
        <w:t xml:space="preserve">Revenue year one is not the point. Receipts that change decisions are. A Pro seat can exist; do not forecast a hardware round.</w:t>
      </w:r>
    </w:p>
    <w:p>
      <w:pPr>
        <w:pStyle w:val="Heading1"/>
        <w:pBdr>
          <w:bottom w:val="single" w:color="2F6F5E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2F6F5E"/>
          <w:sz w:val="28"/>
          <w:szCs w:val="28"/>
        </w:rPr>
        <w:t xml:space="preserve">8. SKU and license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F"/>
          <w:sz w:val="21"/>
          <w:szCs w:val="21"/>
        </w:rPr>
        <w:t xml:space="preserve">Community: Lean + schema. No hosted kernel. No managed-service right.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F"/>
          <w:sz w:val="21"/>
          <w:szCs w:val="21"/>
        </w:rPr>
        <w:t xml:space="preserve">Pro: hosted /close, receipt, audit log. Managed-service restriction applies to anyone else hosting it.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F"/>
          <w:sz w:val="21"/>
          <w:szCs w:val="21"/>
        </w:rPr>
        <w:t xml:space="preserve">Enterprise: not year one unless a caller pays for isolation up front.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F"/>
          <w:sz w:val="21"/>
          <w:szCs w:val="21"/>
        </w:rPr>
        <w:t xml:space="preserve">PMCP: may call Pro. May not grant or revoke the kernel. Revenue share only on branded work they deliver.</w:t>
      </w:r>
    </w:p>
    <w:p>
      <w:pPr>
        <w:pStyle w:val="Heading1"/>
        <w:pBdr>
          <w:bottom w:val="single" w:color="2F6F5E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2F6F5E"/>
          <w:sz w:val="28"/>
          <w:szCs w:val="28"/>
        </w:rPr>
        <w:t xml:space="preserve">9. Kill-switches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F"/>
          <w:sz w:val="21"/>
          <w:szCs w:val="21"/>
        </w:rPr>
        <w:t xml:space="preserve">If a sale requires “we proved RH,” refuse the wire.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F"/>
          <w:sz w:val="21"/>
          <w:szCs w:val="21"/>
        </w:rPr>
        <w:t xml:space="preserve">If the kernel adds an unlawful composition under Kani, halt the API.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F"/>
          <w:sz w:val="21"/>
          <w:szCs w:val="21"/>
        </w:rPr>
        <w:t xml:space="preserve">If equity is used to skip PMCP gates, halt cert talk, not necessarily the kernel.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F"/>
          <w:sz w:val="21"/>
          <w:szCs w:val="21"/>
        </w:rPr>
        <w:t xml:space="preserve">If cloud QPU spend exceeds the labeled calibration cap, stop jobs.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F"/>
          <w:sz w:val="21"/>
          <w:szCs w:val="21"/>
        </w:rPr>
        <w:t xml:space="preserve">Gift to the UNA does not convert into UCC seats.</w:t>
      </w:r>
    </w:p>
    <w:p>
      <w:pPr>
        <w:pStyle w:val="Heading1"/>
        <w:pBdr>
          <w:bottom w:val="single" w:color="2F6F5E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2F6F5E"/>
          <w:sz w:val="28"/>
          <w:szCs w:val="28"/>
        </w:rPr>
        <w:t xml:space="preserve">10. Named tensions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6120"/>
      </w:tblGrid>
      <w:tr>
        <w:trPr>
          <w:tblHeader/>
        </w:trPr>
        <w:tc>
          <w:tcPr>
            <w:tcW w:type="dxa" w:w="396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2F6F5E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Tension</w:t>
            </w:r>
          </w:p>
        </w:tc>
        <w:tc>
          <w:tcPr>
            <w:tcW w:type="dxa" w:w="612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2F6F5E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Binding</w:t>
            </w:r>
          </w:p>
        </w:tc>
      </w:tr>
      <w:tr>
        <w:tc>
          <w:tcPr>
            <w:tcW w:type="dxa" w:w="396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Beautiful math vs callable product</w:t>
            </w:r>
          </w:p>
        </w:tc>
        <w:tc>
          <w:tcPr>
            <w:tcW w:type="dxa" w:w="612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Two civic objects close first.</w:t>
            </w:r>
          </w:p>
        </w:tc>
      </w:tr>
      <w:tr>
        <w:tc>
          <w:tcPr>
            <w:tcW w:type="dxa" w:w="396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E8F0E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RH paper vs SLA</w:t>
            </w:r>
          </w:p>
        </w:tc>
        <w:tc>
          <w:tcPr>
            <w:tcW w:type="dxa" w:w="612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E8F0E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SLA = version, latency, receipt. RH stays in the paper.</w:t>
            </w:r>
          </w:p>
        </w:tc>
      </w:tr>
      <w:tr>
        <w:tc>
          <w:tcPr>
            <w:tcW w:type="dxa" w:w="396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UAC hunger vs UCC focus</w:t>
            </w:r>
          </w:p>
        </w:tc>
        <w:tc>
          <w:tcPr>
            <w:tcW w:type="dxa" w:w="612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UAC is research-path until a partner queue exists.</w:t>
            </w:r>
          </w:p>
        </w:tc>
      </w:tr>
      <w:tr>
        <w:tc>
          <w:tcPr>
            <w:tcW w:type="dxa" w:w="396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E8F0E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Open core vs hosted oracle</w:t>
            </w:r>
          </w:p>
        </w:tc>
        <w:tc>
          <w:tcPr>
            <w:tcW w:type="dxa" w:w="612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E8F0E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Lean public or embargoed in writing. Kernel is licensed.</w:t>
            </w:r>
          </w:p>
        </w:tc>
      </w:tr>
      <w:tr>
        <w:tc>
          <w:tcPr>
            <w:tcW w:type="dxa" w:w="396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Operator yield vs garden purpose</w:t>
            </w:r>
          </w:p>
        </w:tc>
        <w:tc>
          <w:tcPr>
            <w:tcW w:type="dxa" w:w="6120"/>
            <w:tcBorders>
              <w:top w:val="single" w:color="C5D4CC" w:sz="4"/>
              <w:left w:val="single" w:color="C5D4CC" w:sz="4"/>
              <w:bottom w:val="single" w:color="C5D4CC" w:sz="4"/>
              <w:right w:val="single" w:color="C5D4CC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2F"/>
                <w:sz w:val="17"/>
                <w:szCs w:val="17"/>
              </w:rPr>
              <w:t xml:space="preserve">Remittance labeled remittance.</w:t>
            </w:r>
          </w:p>
        </w:tc>
      </w:tr>
    </w:tbl>
    <w:p>
      <w:pPr>
        <w:pStyle w:val="Heading1"/>
        <w:pBdr>
          <w:bottom w:val="single" w:color="2F6F5E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2F6F5E"/>
          <w:sz w:val="28"/>
          <w:szCs w:val="28"/>
        </w:rPr>
        <w:t xml:space="preserve">11. Optional artifact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1B3A2F"/>
          <w:sz w:val="22"/>
          <w:szCs w:val="22"/>
        </w:rPr>
        <w:t xml:space="preserve">“Ship the closure. Rent the atoms. Do not sell the millennium prize.”</w:t>
      </w:r>
    </w:p>
    <w:p>
      <w:pPr>
        <w:pStyle w:val="Heading1"/>
        <w:pBdr>
          <w:bottom w:val="single" w:color="2F6F5E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2F6F5E"/>
          <w:sz w:val="28"/>
          <w:szCs w:val="28"/>
        </w:rPr>
        <w:t xml:space="preserve">12. Precision still open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F"/>
          <w:sz w:val="22"/>
          <w:szCs w:val="22"/>
        </w:rPr>
        <w:t xml:space="preserve">Is the first outside caller a Civic R&amp;D peer, a PMCP candidate, or an operator subscriber? The API does not change. The contract does. Pick one before Q2 cash.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bri" w:cs="Calibri" w:eastAsia="Calibri" w:hAnsi="Calibri"/>
        <w:b w:val="false"/>
        <w:bCs w:val="false"/>
        <w:i w:val="false"/>
        <w:iCs w:val="false"/>
        <w:color w:val="8A6D3B"/>
        <w:sz w:val="16"/>
        <w:szCs w:val="16"/>
      </w:rPr>
      <w:t xml:space="preserve">Operator product  ·  UNA remittance  ·  LawfulRecursionVersion 1.0    p. </w:t>
    </w:r>
    <w:r>
      <w:rPr>
        <w:rFonts w:ascii="Calibri" w:cs="Calibri" w:eastAsia="Calibri" w:hAnsi="Calibri"/>
        <w:color w:val="8A6D3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2F6F5E"/>
        <w:sz w:val="16"/>
        <w:szCs w:val="16"/>
      </w:rPr>
      <w:t xml:space="preserve">Citizen Gardens  ·  UCC Year One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3A2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2F6F5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Calibri" w:cs="Calibri" w:eastAsia="Calibri" w:hAnsi="Calibri"/>
      <w:b/>
      <w:bCs/>
      <w:color w:val="1B3A2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2026-09-02T23:41:55.956Z</dcterms:created>
  <dcterms:modified xsi:type="dcterms:W3CDTF">2026-09-02T23:41:55.956Z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