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UOR Foundation Reinitialization</w:t>
      </w:r>
    </w:p>
    <w:p>
      <w:pPr>
        <w:pStyle w:val="Subtitle"/>
      </w:pPr>
      <w:r>
        <w:t>Executive Decision Brief</w:t>
      </w:r>
    </w:p>
    <w:p>
      <w:r>
        <w:t>Prepared for Foundation and technical leadership review</w:t>
        <w:br/>
        <w:t>Final review draft • 10 September 2026</w:t>
      </w:r>
    </w:p>
    <w:p>
      <w:pPr>
        <w:pStyle w:val="DecisionNote"/>
      </w:pPr>
      <w:r>
        <w:t>RECOMMENDATION: CONDITIONAL GO</w:t>
      </w:r>
    </w:p>
    <w:p>
      <w:pPr>
        <w:pStyle w:val="ExecutiveLead"/>
      </w:pPr>
      <w:r>
        <w:t>Approve a two-week Day Zero mobilization, then begin the ninety-day cycle only if authority, scope, public facts, volunteer capacity, release custody and the primary pilot are explicit.</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Decision sought</w:t>
            </w:r>
          </w:p>
        </w:tc>
        <w:tc>
          <w:tcPr>
            <w:tcW w:type="dxa" w:w="3672"/>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Recommended resolution</w:t>
            </w:r>
          </w:p>
        </w:tc>
        <w:tc>
          <w:tcPr>
            <w:tcW w:type="dxa" w:w="4896"/>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Reason</w:t>
            </w:r>
          </w:p>
        </w:tc>
      </w:tr>
      <w:tr>
        <w:trPr>
          <w:cantSplit/>
        </w:trPr>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Operating posture</w:t>
            </w:r>
          </w:p>
        </w:tc>
        <w:tc>
          <w:tcPr>
            <w:tcW w:type="dxa" w:w="367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Treat UOR as an advanced pre-ecosystem platform.</w:t>
            </w:r>
          </w:p>
        </w:tc>
        <w:tc>
          <w:tcPr>
            <w:tcW w:type="dxa" w:w="489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The technical estate is substantial; institutional coherence and independent adoption lag.</w:t>
            </w:r>
          </w:p>
        </w:tc>
      </w:tr>
      <w:tr>
        <w:trPr>
          <w:cantSplit/>
        </w:trPr>
        <w:tc>
          <w:tcPr>
            <w:tcW w:type="dxa" w:w="208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Ninety-day objective</w:t>
            </w:r>
          </w:p>
        </w:tc>
        <w:tc>
          <w:tcPr>
            <w:tcW w:type="dxa" w:w="367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Publish one governed, testable value-layer baseline.</w:t>
            </w:r>
          </w:p>
        </w:tc>
        <w:tc>
          <w:tcPr>
            <w:tcW w:type="dxa" w:w="489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 narrow specification-and-proof cycle fits a volunteer-only model.</w:t>
            </w:r>
          </w:p>
        </w:tc>
      </w:tr>
      <w:tr>
        <w:trPr>
          <w:cantSplit/>
        </w:trPr>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Scope</w:t>
            </w:r>
          </w:p>
        </w:tc>
        <w:tc>
          <w:tcPr>
            <w:tcW w:type="dxa" w:w="367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Freeze new foundational concepts and unrelated expansions.</w:t>
            </w:r>
          </w:p>
        </w:tc>
        <w:tc>
          <w:tcPr>
            <w:tcW w:type="dxa" w:w="489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The main constraint is coordination and review capacity, not idea generation.</w:t>
            </w:r>
          </w:p>
        </w:tc>
      </w:tr>
      <w:tr>
        <w:trPr>
          <w:cantSplit/>
        </w:trPr>
        <w:tc>
          <w:tcPr>
            <w:tcW w:type="dxa" w:w="208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Evidence posture</w:t>
            </w:r>
          </w:p>
        </w:tc>
        <w:tc>
          <w:tcPr>
            <w:tcW w:type="dxa" w:w="367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Use the E0–E6 scale; claim only the highest demonstrated grade.</w:t>
            </w:r>
          </w:p>
        </w:tc>
        <w:tc>
          <w:tcPr>
            <w:tcW w:type="dxa" w:w="489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This separates availability, Foundation demos, experiments, evaluation, conformance and adoption.</w:t>
            </w:r>
          </w:p>
        </w:tc>
      </w:tr>
      <w:tr>
        <w:trPr>
          <w:cantSplit/>
        </w:trPr>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Go gate</w:t>
            </w:r>
          </w:p>
        </w:tc>
        <w:tc>
          <w:tcPr>
            <w:tcW w:type="dxa" w:w="367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Require at least three named stewards with recorded capacity and backups.</w:t>
            </w:r>
          </w:p>
        </w:tc>
        <w:tc>
          <w:tcPr>
            <w:tcW w:type="dxa" w:w="489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 plan without accountable people is not an operating system.</w:t>
            </w:r>
          </w:p>
        </w:tc>
      </w:tr>
    </w:tbl>
    <w:p>
      <w:pPr>
        <w:spacing w:after="0"/>
      </w:pPr>
    </w:p>
    <w:p>
      <w:pPr>
        <w:pStyle w:val="Heading1"/>
      </w:pPr>
      <w:r>
        <w:t>1. Executive diagnosis</w:t>
      </w:r>
    </w:p>
    <w:p>
      <w:r>
        <w:t>UOR technology is ahead of UOR operating structure. The Foundation has credible ontology, addressing, conformance, registry, application-model and research assets. What is missing is one public source of truth, an approved authority chain, coordinated release ownership, independent implementation evidence and attributable use outside Foundation-authored work.</w:t>
      </w:r>
    </w:p>
    <w:p>
      <w:pPr>
        <w:pStyle w:val="ExecutiveLead"/>
      </w:pPr>
      <w:r>
        <w:t>Strategic implication: the next unit of value is not another capability. It is confidence—confidence that outsiders can identify the authoritative contract, reproduce the behavior, understand limitations and know who can decide a change.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Dimension</w:t>
            </w:r>
          </w:p>
        </w:tc>
        <w:tc>
          <w:tcPr>
            <w:tcW w:type="dxa" w:w="3240"/>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Current position</w:t>
            </w:r>
          </w:p>
        </w:tc>
        <w:tc>
          <w:tcPr>
            <w:tcW w:type="dxa" w:w="5040"/>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Board interpretation</w:t>
            </w:r>
          </w:p>
        </w:tc>
      </w:tr>
      <w:tr>
        <w:trPr>
          <w:cantSplit/>
        </w:trPr>
        <w:tc>
          <w:tcPr>
            <w:tcW w:type="dxa" w:w="237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Semantic and contract assets</w:t>
            </w:r>
          </w:p>
        </w:tc>
        <w:tc>
          <w:tcPr>
            <w:tcW w:type="dxa" w:w="32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Strong component depth</w:t>
            </w:r>
          </w:p>
        </w:tc>
        <w:tc>
          <w:tcPr>
            <w:tcW w:type="dxa" w:w="50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Ready to narrow into a Core Value Profile.</w:t>
            </w:r>
          </w:p>
        </w:tc>
      </w:tr>
      <w:tr>
        <w:trPr>
          <w:cantSplit/>
        </w:trPr>
        <w:tc>
          <w:tcPr>
            <w:tcW w:type="dxa" w:w="237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Conformance and reproducibility</w:t>
            </w:r>
          </w:p>
        </w:tc>
        <w:tc>
          <w:tcPr>
            <w:tcW w:type="dxa" w:w="32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Strong inside several repositories</w:t>
            </w:r>
          </w:p>
        </w:tc>
        <w:tc>
          <w:tcPr>
            <w:tcW w:type="dxa" w:w="50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Needs one cross-repository, language-neutral baseline.</w:t>
            </w:r>
          </w:p>
        </w:tc>
      </w:tr>
      <w:tr>
        <w:trPr>
          <w:cantSplit/>
        </w:trPr>
        <w:tc>
          <w:tcPr>
            <w:tcW w:type="dxa" w:w="237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Portfolio authority</w:t>
            </w:r>
          </w:p>
        </w:tc>
        <w:tc>
          <w:tcPr>
            <w:tcW w:type="dxa" w:w="32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Fragmented</w:t>
            </w:r>
          </w:p>
        </w:tc>
        <w:tc>
          <w:tcPr>
            <w:tcW w:type="dxa" w:w="50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Classification and version authority require ratification.</w:t>
            </w:r>
          </w:p>
        </w:tc>
      </w:tr>
      <w:tr>
        <w:trPr>
          <w:cantSplit/>
        </w:trPr>
        <w:tc>
          <w:tcPr>
            <w:tcW w:type="dxa" w:w="237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External usage</w:t>
            </w:r>
          </w:p>
        </w:tc>
        <w:tc>
          <w:tcPr>
            <w:tcW w:type="dxa" w:w="32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E2 at best</w:t>
            </w:r>
          </w:p>
        </w:tc>
        <w:tc>
          <w:tcPr>
            <w:tcW w:type="dxa" w:w="50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Experiments are useful evidence, but are not adoption.</w:t>
            </w:r>
          </w:p>
        </w:tc>
      </w:tr>
      <w:tr>
        <w:trPr>
          <w:cantSplit/>
        </w:trPr>
        <w:tc>
          <w:tcPr>
            <w:tcW w:type="dxa" w:w="237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Volunteer operating capacity</w:t>
            </w:r>
          </w:p>
        </w:tc>
        <w:tc>
          <w:tcPr>
            <w:tcW w:type="dxa" w:w="32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Unverified</w:t>
            </w:r>
          </w:p>
        </w:tc>
        <w:tc>
          <w:tcPr>
            <w:tcW w:type="dxa" w:w="50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The critical feasibility variable.</w:t>
            </w:r>
          </w:p>
        </w:tc>
      </w:tr>
      <w:tr>
        <w:trPr>
          <w:cantSplit/>
        </w:trPr>
        <w:tc>
          <w:tcPr>
            <w:tcW w:type="dxa" w:w="237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Public claims</w:t>
            </w:r>
          </w:p>
        </w:tc>
        <w:tc>
          <w:tcPr>
            <w:tcW w:type="dxa" w:w="32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Inconsistent and over-broad in places</w:t>
            </w:r>
          </w:p>
        </w:tc>
        <w:tc>
          <w:tcPr>
            <w:tcW w:type="dxa" w:w="50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Immediate correction required before outreach.</w:t>
            </w:r>
          </w:p>
        </w:tc>
      </w:tr>
    </w:tbl>
    <w:p>
      <w:pPr>
        <w:spacing w:after="0"/>
      </w:pPr>
    </w:p>
    <w:p>
      <w:r>
        <w:br w:type="page"/>
      </w:r>
    </w:p>
    <w:p>
      <w:pPr>
        <w:pStyle w:val="Heading1"/>
      </w:pPr>
      <w:r>
        <w:t>2. Strategic position</w:t>
      </w:r>
    </w:p>
    <w:p>
      <w:pPr>
        <w:pStyle w:val="Heading2"/>
      </w:pPr>
      <w:r>
        <w:t>The value proposition</w:t>
      </w:r>
    </w:p>
    <w:p>
      <w:r>
        <w:t>UOR gives digital and computational objects content-derived identity and portable verification. It helps systems decide whether they refer to the same object, identify what changed, preserve the evidence behind a result and verify that result without relying entirely on the original producer.</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96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6"/>
              </w:rPr>
              <w:t>UOR is</w:t>
            </w:r>
          </w:p>
        </w:tc>
        <w:tc>
          <w:tcPr>
            <w:tcW w:type="dxa" w:w="496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6"/>
              </w:rPr>
              <w:t>UOR is not</w:t>
            </w:r>
          </w:p>
        </w:tc>
      </w:tr>
      <w:tr>
        <w:trPr>
          <w:cantSplit/>
        </w:trPr>
        <w:tc>
          <w:tcPr>
            <w:tcW w:type="dxa" w:w="496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6"/>
              </w:rPr>
              <w:t>A value layer for identity, relations, provenance, admissibility and replay.</w:t>
            </w:r>
          </w:p>
        </w:tc>
        <w:tc>
          <w:tcPr>
            <w:tcW w:type="dxa" w:w="496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6"/>
              </w:rPr>
              <w:t>A replacement for every transport, credential, database or agent protocol.</w:t>
            </w:r>
          </w:p>
        </w:tc>
      </w:tr>
      <w:tr>
        <w:trPr>
          <w:cantSplit/>
        </w:trPr>
        <w:tc>
          <w:tcPr>
            <w:tcW w:type="dxa" w:w="496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6"/>
              </w:rPr>
              <w:t>A set of contracts and verification behavior that can be implemented independently.</w:t>
            </w:r>
          </w:p>
        </w:tc>
        <w:tc>
          <w:tcPr>
            <w:tcW w:type="dxa" w:w="496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6"/>
              </w:rPr>
              <w:t>A promise that all digital identity or prompt-injection problems are solved.</w:t>
            </w:r>
          </w:p>
        </w:tc>
      </w:tr>
      <w:tr>
        <w:trPr>
          <w:cantSplit/>
        </w:trPr>
        <w:tc>
          <w:tcPr>
            <w:tcW w:type="dxa" w:w="496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6"/>
              </w:rPr>
              <w:t>A complement to existing standards through adapters.</w:t>
            </w:r>
          </w:p>
        </w:tc>
        <w:tc>
          <w:tcPr>
            <w:tcW w:type="dxa" w:w="496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6"/>
              </w:rPr>
              <w:t>A requirement that adopters absorb the entire ontology or research portfolio.</w:t>
            </w:r>
          </w:p>
        </w:tc>
      </w:tr>
      <w:tr>
        <w:trPr>
          <w:cantSplit/>
        </w:trPr>
        <w:tc>
          <w:tcPr>
            <w:tcW w:type="dxa" w:w="496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6"/>
              </w:rPr>
              <w:t>An open, evidence-oriented technical program.</w:t>
            </w:r>
          </w:p>
        </w:tc>
        <w:tc>
          <w:tcPr>
            <w:tcW w:type="dxa" w:w="496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6"/>
              </w:rPr>
              <w:t>A funded company, staffed standards body or production support organization.</w:t>
            </w:r>
          </w:p>
        </w:tc>
      </w:tr>
    </w:tbl>
    <w:p>
      <w:pPr>
        <w:spacing w:after="0"/>
      </w:pPr>
    </w:p>
    <w:p>
      <w:pPr>
        <w:pStyle w:val="Heading2"/>
      </w:pPr>
      <w:r>
        <w:t>Authority chain to ratify</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16"/>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Level</w:t>
            </w:r>
          </w:p>
        </w:tc>
        <w:tc>
          <w:tcPr>
            <w:tcW w:type="dxa" w:w="4824"/>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Controls</w:t>
            </w:r>
          </w:p>
        </w:tc>
        <w:tc>
          <w:tcPr>
            <w:tcW w:type="dxa" w:w="3672"/>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Required output</w:t>
            </w:r>
          </w:p>
        </w:tc>
      </w:tr>
      <w:tr>
        <w:trPr>
          <w:cantSplit/>
        </w:trPr>
        <w:tc>
          <w:tcPr>
            <w:tcW w:type="dxa" w:w="201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Foundation charter</w:t>
            </w:r>
          </w:p>
        </w:tc>
        <w:tc>
          <w:tcPr>
            <w:tcW w:type="dxa" w:w="482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Mission, neutrality, assets and reserved powers</w:t>
            </w:r>
          </w:p>
        </w:tc>
        <w:tc>
          <w:tcPr>
            <w:tcW w:type="dxa" w:w="367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Approved governance record</w:t>
            </w:r>
          </w:p>
        </w:tc>
      </w:tr>
      <w:tr>
        <w:trPr>
          <w:cantSplit/>
        </w:trPr>
        <w:tc>
          <w:tcPr>
            <w:tcW w:type="dxa" w:w="201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Core Value Profile</w:t>
            </w:r>
          </w:p>
        </w:tc>
        <w:tc>
          <w:tcPr>
            <w:tcW w:type="dxa" w:w="482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Minimum interoperable behavior and exclusions</w:t>
            </w:r>
          </w:p>
        </w:tc>
        <w:tc>
          <w:tcPr>
            <w:tcW w:type="dxa" w:w="367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Versioned profile</w:t>
            </w:r>
          </w:p>
        </w:tc>
      </w:tr>
      <w:tr>
        <w:trPr>
          <w:cantSplit/>
        </w:trPr>
        <w:tc>
          <w:tcPr>
            <w:tcW w:type="dxa" w:w="201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Canonical ontology</w:t>
            </w:r>
          </w:p>
        </w:tc>
        <w:tc>
          <w:tcPr>
            <w:tcW w:type="dxa" w:w="482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Terms, types, relations and invariants</w:t>
            </w:r>
          </w:p>
        </w:tc>
        <w:tc>
          <w:tcPr>
            <w:tcW w:type="dxa" w:w="367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Named source of truth</w:t>
            </w:r>
          </w:p>
        </w:tc>
      </w:tr>
      <w:tr>
        <w:trPr>
          <w:cantSplit/>
        </w:trPr>
        <w:tc>
          <w:tcPr>
            <w:tcW w:type="dxa" w:w="201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Generated contracts</w:t>
            </w:r>
          </w:p>
        </w:tc>
        <w:tc>
          <w:tcPr>
            <w:tcW w:type="dxa" w:w="482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Schemas, traits and machine artifacts</w:t>
            </w:r>
          </w:p>
        </w:tc>
        <w:tc>
          <w:tcPr>
            <w:tcW w:type="dxa" w:w="367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Reproducible build</w:t>
            </w:r>
          </w:p>
        </w:tc>
      </w:tr>
      <w:tr>
        <w:trPr>
          <w:cantSplit/>
        </w:trPr>
        <w:tc>
          <w:tcPr>
            <w:tcW w:type="dxa" w:w="201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Conformance</w:t>
            </w:r>
          </w:p>
        </w:tc>
        <w:tc>
          <w:tcPr>
            <w:tcW w:type="dxa" w:w="482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Positive, negative and incompatible-ruleset behavior</w:t>
            </w:r>
          </w:p>
        </w:tc>
        <w:tc>
          <w:tcPr>
            <w:tcW w:type="dxa" w:w="367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Portable vectors</w:t>
            </w:r>
          </w:p>
        </w:tc>
      </w:tr>
      <w:tr>
        <w:trPr>
          <w:cantSplit/>
        </w:trPr>
        <w:tc>
          <w:tcPr>
            <w:tcW w:type="dxa" w:w="201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Reference services</w:t>
            </w:r>
          </w:p>
        </w:tc>
        <w:tc>
          <w:tcPr>
            <w:tcW w:type="dxa" w:w="482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Addressing, registry, API and examples</w:t>
            </w:r>
          </w:p>
        </w:tc>
        <w:tc>
          <w:tcPr>
            <w:tcW w:type="dxa" w:w="367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Clearly non-normative status</w:t>
            </w:r>
          </w:p>
        </w:tc>
      </w:tr>
      <w:tr>
        <w:trPr>
          <w:cantSplit/>
        </w:trPr>
        <w:tc>
          <w:tcPr>
            <w:tcW w:type="dxa" w:w="201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Applications and research</w:t>
            </w:r>
          </w:p>
        </w:tc>
        <w:tc>
          <w:tcPr>
            <w:tcW w:type="dxa" w:w="482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Integrations, experiments and extensions</w:t>
            </w:r>
          </w:p>
        </w:tc>
        <w:tc>
          <w:tcPr>
            <w:tcW w:type="dxa" w:w="367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Evidence and limitations</w:t>
            </w:r>
          </w:p>
        </w:tc>
      </w:tr>
    </w:tbl>
    <w:p>
      <w:pPr>
        <w:spacing w:after="0"/>
      </w:pPr>
    </w:p>
    <w:p>
      <w:pPr>
        <w:pStyle w:val="Heading2"/>
      </w:pPr>
      <w:r>
        <w:t>Operating principle</w:t>
      </w:r>
    </w:p>
    <w:p>
      <w:r>
        <w:t>Centralize mission, public truth, legal/IP controls, security coordination and release custody. Delegate technical decisions to named maintainers within the ratified profile and evidence rules. Working groups exist only for bounded deliverables and sunset when the deliverable closes.</w:t>
      </w:r>
    </w:p>
    <w:p>
      <w:r>
        <w:br w:type="page"/>
      </w:r>
    </w:p>
    <w:p>
      <w:pPr>
        <w:pStyle w:val="Heading1"/>
      </w:pPr>
      <w:r>
        <w:t>3. Decisions requested</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792"/>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ID</w:t>
            </w:r>
          </w:p>
        </w:tc>
        <w:tc>
          <w:tcPr>
            <w:tcW w:type="dxa" w:w="316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Decision</w:t>
            </w:r>
          </w:p>
        </w:tc>
        <w:tc>
          <w:tcPr>
            <w:tcW w:type="dxa" w:w="6696"/>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Resolution</w:t>
            </w:r>
          </w:p>
        </w:tc>
      </w:tr>
      <w:tr>
        <w:trPr>
          <w:cantSplit/>
        </w:trPr>
        <w:tc>
          <w:tcPr>
            <w:tcW w:type="dxa" w:w="79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D1</w:t>
            </w:r>
          </w:p>
        </w:tc>
        <w:tc>
          <w:tcPr>
            <w:tcW w:type="dxa" w:w="316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Approve the ninety-day objective</w:t>
            </w:r>
          </w:p>
        </w:tc>
        <w:tc>
          <w:tcPr>
            <w:tcW w:type="dxa" w:w="669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One governed Core Value Profile, vectors, verifier, coordinated baseline and evaluated pilot.</w:t>
            </w:r>
          </w:p>
        </w:tc>
      </w:tr>
      <w:tr>
        <w:trPr>
          <w:cantSplit/>
        </w:trPr>
        <w:tc>
          <w:tcPr>
            <w:tcW w:type="dxa" w:w="79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D2</w:t>
            </w:r>
          </w:p>
        </w:tc>
        <w:tc>
          <w:tcPr>
            <w:tcW w:type="dxa" w:w="316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Name interim stewardship</w:t>
            </w:r>
          </w:p>
        </w:tc>
        <w:tc>
          <w:tcPr>
            <w:tcW w:type="dxa" w:w="669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Three to five people; each Tier 0/1 asset has primary and backup coverage.</w:t>
            </w:r>
          </w:p>
        </w:tc>
      </w:tr>
      <w:tr>
        <w:trPr>
          <w:cantSplit/>
        </w:trPr>
        <w:tc>
          <w:tcPr>
            <w:tcW w:type="dxa" w:w="79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D3</w:t>
            </w:r>
          </w:p>
        </w:tc>
        <w:tc>
          <w:tcPr>
            <w:tcW w:type="dxa" w:w="316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Approve scope freeze</w:t>
            </w:r>
          </w:p>
        </w:tc>
        <w:tc>
          <w:tcPr>
            <w:tcW w:type="dxa" w:w="669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No new foundational concepts, namespaces or repositories without an exception decision.</w:t>
            </w:r>
          </w:p>
        </w:tc>
      </w:tr>
      <w:tr>
        <w:trPr>
          <w:cantSplit/>
        </w:trPr>
        <w:tc>
          <w:tcPr>
            <w:tcW w:type="dxa" w:w="79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D4</w:t>
            </w:r>
          </w:p>
        </w:tc>
        <w:tc>
          <w:tcPr>
            <w:tcW w:type="dxa" w:w="316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Ratify the authority chain</w:t>
            </w:r>
          </w:p>
        </w:tc>
        <w:tc>
          <w:tcPr>
            <w:tcW w:type="dxa" w:w="669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State whether UOR-Framework/spec is canonical and whether the API is normative or reference.</w:t>
            </w:r>
          </w:p>
        </w:tc>
      </w:tr>
      <w:tr>
        <w:trPr>
          <w:cantSplit/>
        </w:trPr>
        <w:tc>
          <w:tcPr>
            <w:tcW w:type="dxa" w:w="79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D5</w:t>
            </w:r>
          </w:p>
        </w:tc>
        <w:tc>
          <w:tcPr>
            <w:tcW w:type="dxa" w:w="316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Commission the Core Profile</w:t>
            </w:r>
          </w:p>
        </w:tc>
        <w:tc>
          <w:tcPr>
            <w:tcW w:type="dxa" w:w="669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Identity, ruleset/version, typed relation, provenance, admissibility, verification, failure evidence and replay.</w:t>
            </w:r>
          </w:p>
        </w:tc>
      </w:tr>
      <w:tr>
        <w:trPr>
          <w:cantSplit/>
        </w:trPr>
        <w:tc>
          <w:tcPr>
            <w:tcW w:type="dxa" w:w="79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D6</w:t>
            </w:r>
          </w:p>
        </w:tc>
        <w:tc>
          <w:tcPr>
            <w:tcW w:type="dxa" w:w="316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Adopt evidence and claims policy</w:t>
            </w:r>
          </w:p>
        </w:tc>
        <w:tc>
          <w:tcPr>
            <w:tcW w:type="dxa" w:w="669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E0–E6; public claims cite evidence, date, owner and limits.</w:t>
            </w:r>
          </w:p>
        </w:tc>
      </w:tr>
      <w:tr>
        <w:trPr>
          <w:cantSplit/>
        </w:trPr>
        <w:tc>
          <w:tcPr>
            <w:tcW w:type="dxa" w:w="79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D7</w:t>
            </w:r>
          </w:p>
        </w:tc>
        <w:tc>
          <w:tcPr>
            <w:tcW w:type="dxa" w:w="316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Approve portfolio classes</w:t>
            </w:r>
          </w:p>
        </w:tc>
        <w:tc>
          <w:tcPr>
            <w:tcW w:type="dxa" w:w="669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Normative, Reference, Experimental or Historical; every asset displays its class.</w:t>
            </w:r>
          </w:p>
        </w:tc>
      </w:tr>
      <w:tr>
        <w:trPr>
          <w:cantSplit/>
        </w:trPr>
        <w:tc>
          <w:tcPr>
            <w:tcW w:type="dxa" w:w="79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D8</w:t>
            </w:r>
          </w:p>
        </w:tc>
        <w:tc>
          <w:tcPr>
            <w:tcW w:type="dxa" w:w="316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Approve license/IP/affiliation rules</w:t>
            </w:r>
          </w:p>
        </w:tc>
        <w:tc>
          <w:tcPr>
            <w:tcW w:type="dxa" w:w="669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Artifact-level license map, contribution terms, patent posture and separation boundaries.</w:t>
            </w:r>
          </w:p>
        </w:tc>
      </w:tr>
      <w:tr>
        <w:trPr>
          <w:cantSplit/>
        </w:trPr>
        <w:tc>
          <w:tcPr>
            <w:tcW w:type="dxa" w:w="79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D9</w:t>
            </w:r>
          </w:p>
        </w:tc>
        <w:tc>
          <w:tcPr>
            <w:tcW w:type="dxa" w:w="316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Select one primary pilot</w:t>
            </w:r>
          </w:p>
        </w:tc>
        <w:tc>
          <w:tcPr>
            <w:tcW w:type="dxa" w:w="669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Choose NANDA, Malachite or a protocol adapter; the rest remain secondary.</w:t>
            </w:r>
          </w:p>
        </w:tc>
      </w:tr>
      <w:tr>
        <w:trPr>
          <w:cantSplit/>
        </w:trPr>
        <w:tc>
          <w:tcPr>
            <w:tcW w:type="dxa" w:w="79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D10</w:t>
            </w:r>
          </w:p>
        </w:tc>
        <w:tc>
          <w:tcPr>
            <w:tcW w:type="dxa" w:w="316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Approve the go/no-go gate</w:t>
            </w:r>
          </w:p>
        </w:tc>
        <w:tc>
          <w:tcPr>
            <w:tcW w:type="dxa" w:w="669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Do not start the ninety-day clock until Day Zero conditions are met.</w:t>
            </w:r>
          </w:p>
        </w:tc>
      </w:tr>
    </w:tbl>
    <w:p>
      <w:pPr>
        <w:spacing w:after="0"/>
      </w:pPr>
    </w:p>
    <w:p>
      <w:pPr>
        <w:pStyle w:val="Heading2"/>
      </w:pPr>
      <w:r>
        <w:t>Proposed resolution</w:t>
      </w:r>
    </w:p>
    <w:p>
      <w:r>
        <w:t>Resolved: the UOR Foundation authorizes a two-week Day Zero mobilization under a volunteer-only, no-funding assumption. The ninety-day baseline cycle may commence only after the Secretary records the Day Zero gate as complete. Until then, the portfolio remains in maintenance and governance preparation.</w:t>
      </w:r>
    </w:p>
    <w:p>
      <w:pPr>
        <w:pStyle w:val="Heading2"/>
      </w:pPr>
      <w:r>
        <w:t>Day Zero completion record</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4176"/>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Condition</w:t>
            </w:r>
          </w:p>
        </w:tc>
        <w:tc>
          <w:tcPr>
            <w:tcW w:type="dxa" w:w="172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Owner</w:t>
            </w:r>
          </w:p>
        </w:tc>
        <w:tc>
          <w:tcPr>
            <w:tcW w:type="dxa" w:w="3456"/>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Evidence</w:t>
            </w:r>
          </w:p>
        </w:tc>
        <w:tc>
          <w:tcPr>
            <w:tcW w:type="dxa" w:w="1296"/>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Status</w:t>
            </w:r>
          </w:p>
        </w:tc>
      </w:tr>
      <w:tr>
        <w:trPr>
          <w:cantSplit/>
        </w:trPr>
        <w:tc>
          <w:tcPr>
            <w:tcW w:type="dxa" w:w="417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Public facts reconciled</w:t>
            </w:r>
          </w:p>
        </w:tc>
        <w:tc>
          <w:tcPr>
            <w:tcW w:type="dxa" w:w="172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345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1296"/>
            <w:shd w:fill="FFF2CC"/>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Pending</w:t>
            </w:r>
          </w:p>
        </w:tc>
      </w:tr>
      <w:tr>
        <w:trPr>
          <w:cantSplit/>
        </w:trPr>
        <w:tc>
          <w:tcPr>
            <w:tcW w:type="dxa" w:w="417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Stewards and weekly capacity named</w:t>
            </w:r>
          </w:p>
        </w:tc>
        <w:tc>
          <w:tcPr>
            <w:tcW w:type="dxa" w:w="172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345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1296"/>
            <w:shd w:fill="FFF2CC"/>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Pending</w:t>
            </w:r>
          </w:p>
        </w:tc>
      </w:tr>
      <w:tr>
        <w:trPr>
          <w:cantSplit/>
        </w:trPr>
        <w:tc>
          <w:tcPr>
            <w:tcW w:type="dxa" w:w="417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Scope/freeze/authority ratified</w:t>
            </w:r>
          </w:p>
        </w:tc>
        <w:tc>
          <w:tcPr>
            <w:tcW w:type="dxa" w:w="172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345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1296"/>
            <w:shd w:fill="FFF2CC"/>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Pending</w:t>
            </w:r>
          </w:p>
        </w:tc>
      </w:tr>
      <w:tr>
        <w:trPr>
          <w:cantSplit/>
        </w:trPr>
        <w:tc>
          <w:tcPr>
            <w:tcW w:type="dxa" w:w="417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Portfolio classes recorded</w:t>
            </w:r>
          </w:p>
        </w:tc>
        <w:tc>
          <w:tcPr>
            <w:tcW w:type="dxa" w:w="172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345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1296"/>
            <w:shd w:fill="FFF2CC"/>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Pending</w:t>
            </w:r>
          </w:p>
        </w:tc>
      </w:tr>
      <w:tr>
        <w:trPr>
          <w:cantSplit/>
        </w:trPr>
        <w:tc>
          <w:tcPr>
            <w:tcW w:type="dxa" w:w="417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Entity, domains, release keys and custody verified</w:t>
            </w:r>
          </w:p>
        </w:tc>
        <w:tc>
          <w:tcPr>
            <w:tcW w:type="dxa" w:w="172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345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1296"/>
            <w:shd w:fill="FFF2CC"/>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Pending</w:t>
            </w:r>
          </w:p>
        </w:tc>
      </w:tr>
      <w:tr>
        <w:trPr>
          <w:cantSplit/>
        </w:trPr>
        <w:tc>
          <w:tcPr>
            <w:tcW w:type="dxa" w:w="417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First user and primary pilot selected</w:t>
            </w:r>
          </w:p>
        </w:tc>
        <w:tc>
          <w:tcPr>
            <w:tcW w:type="dxa" w:w="172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345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1296"/>
            <w:shd w:fill="FFF2CC"/>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Pending</w:t>
            </w:r>
          </w:p>
        </w:tc>
      </w:tr>
    </w:tbl>
    <w:p>
      <w:pPr>
        <w:spacing w:after="0"/>
      </w:pPr>
    </w:p>
    <w:p>
      <w:r>
        <w:br w:type="page"/>
      </w:r>
    </w:p>
    <w:p>
      <w:pPr>
        <w:pStyle w:val="Heading1"/>
      </w:pPr>
      <w:r>
        <w:t>4. Feasibility and resource logic</w:t>
      </w:r>
    </w:p>
    <w:p>
      <w:r>
        <w:t>The ninety-day program is feasible as a specification-and-proof cycle. It is not feasible as a broad ecosystem launch or proof of universal adoption.</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800"/>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Capacity case</w:t>
            </w:r>
          </w:p>
        </w:tc>
        <w:tc>
          <w:tcPr>
            <w:tcW w:type="dxa" w:w="208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Available capacity</w:t>
            </w:r>
          </w:p>
        </w:tc>
        <w:tc>
          <w:tcPr>
            <w:tcW w:type="dxa" w:w="4824"/>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Expected result</w:t>
            </w:r>
          </w:p>
        </w:tc>
        <w:tc>
          <w:tcPr>
            <w:tcW w:type="dxa" w:w="1944"/>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Decision</w:t>
            </w:r>
          </w:p>
        </w:tc>
      </w:tr>
      <w:tr>
        <w:trPr>
          <w:cantSplit/>
        </w:trPr>
        <w:tc>
          <w:tcPr>
            <w:tcW w:type="dxa" w:w="180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Five volunteers</w:t>
            </w:r>
          </w:p>
        </w:tc>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3–5 hours each per week</w:t>
            </w:r>
          </w:p>
        </w:tc>
        <w:tc>
          <w:tcPr>
            <w:tcW w:type="dxa" w:w="482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Ninety-day baseline is plausible with disciplined scope.</w:t>
            </w:r>
          </w:p>
        </w:tc>
        <w:tc>
          <w:tcPr>
            <w:tcW w:type="dxa" w:w="1944"/>
            <w:shd w:fill="E2F0D9"/>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Conditional go</w:t>
            </w:r>
          </w:p>
        </w:tc>
      </w:tr>
      <w:tr>
        <w:trPr>
          <w:cantSplit/>
        </w:trPr>
        <w:tc>
          <w:tcPr>
            <w:tcW w:type="dxa" w:w="180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Three volunteers</w:t>
            </w:r>
          </w:p>
        </w:tc>
        <w:tc>
          <w:tcPr>
            <w:tcW w:type="dxa" w:w="208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3–4 hours each per week</w:t>
            </w:r>
          </w:p>
        </w:tc>
        <w:tc>
          <w:tcPr>
            <w:tcW w:type="dxa" w:w="482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Profile and vectors plausible; release or pilot may extend to 180 days.</w:t>
            </w:r>
          </w:p>
        </w:tc>
        <w:tc>
          <w:tcPr>
            <w:tcW w:type="dxa" w:w="1944"/>
            <w:shd w:fill="FFF2CC"/>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Conditional</w:t>
            </w:r>
          </w:p>
        </w:tc>
      </w:tr>
      <w:tr>
        <w:trPr>
          <w:cantSplit/>
        </w:trPr>
        <w:tc>
          <w:tcPr>
            <w:tcW w:type="dxa" w:w="180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Two volunteers</w:t>
            </w:r>
          </w:p>
        </w:tc>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Part-time</w:t>
            </w:r>
          </w:p>
        </w:tc>
        <w:tc>
          <w:tcPr>
            <w:tcW w:type="dxa" w:w="482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Governance and draft profile only; independent credibility unlikely.</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Pause release claim</w:t>
            </w:r>
          </w:p>
        </w:tc>
      </w:tr>
      <w:tr>
        <w:trPr>
          <w:cantSplit/>
        </w:trPr>
        <w:tc>
          <w:tcPr>
            <w:tcW w:type="dxa" w:w="180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One volunteer</w:t>
            </w:r>
          </w:p>
        </w:tc>
        <w:tc>
          <w:tcPr>
            <w:tcW w:type="dxa" w:w="208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Any sustainable load</w:t>
            </w:r>
          </w:p>
        </w:tc>
        <w:tc>
          <w:tcPr>
            <w:tcW w:type="dxa" w:w="482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Maintenance only; no baseline claim.</w:t>
            </w:r>
          </w:p>
        </w:tc>
        <w:tc>
          <w:tcPr>
            <w:tcW w:type="dxa" w:w="1944"/>
            <w:shd w:fill="E2F0D9"/>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No-go</w:t>
            </w:r>
          </w:p>
        </w:tc>
      </w:tr>
    </w:tbl>
    <w:p>
      <w:pPr>
        <w:spacing w:after="0"/>
      </w:pPr>
    </w:p>
    <w:p>
      <w:r>
        <w:t>Planning range: 215–400 combined volunteer hours across thirteen weeks, or approximately 17–31 hours per week. Treat this as a capacity envelope, not a commitment or valuation of unpaid labor.</w:t>
      </w:r>
    </w:p>
    <w:p>
      <w:pPr>
        <w:pStyle w:val="Heading2"/>
      </w:pPr>
      <w:r>
        <w:t>Ninety-day success test</w:t>
      </w:r>
    </w:p>
    <w:p>
      <w:pPr>
        <w:pStyle w:val="ListBullet"/>
        <w:spacing w:after="40"/>
      </w:pPr>
      <w:r>
        <w:t>A newcomer understands UOR and its boundaries in ten minutes.</w:t>
      </w:r>
    </w:p>
    <w:p>
      <w:pPr>
        <w:pStyle w:val="ListBullet"/>
        <w:spacing w:after="40"/>
      </w:pPr>
      <w:r>
        <w:t>Every assessed asset has an authority and lifecycle class.</w:t>
      </w:r>
    </w:p>
    <w:p>
      <w:pPr>
        <w:pStyle w:val="ListBullet"/>
        <w:spacing w:after="40"/>
      </w:pPr>
      <w:r>
        <w:t>Two independent implementations agree on the canonical vectors.</w:t>
      </w:r>
    </w:p>
    <w:p>
      <w:pPr>
        <w:pStyle w:val="ListBullet"/>
        <w:spacing w:after="40"/>
      </w:pPr>
      <w:r>
        <w:t>A coordinated baseline is reproducible from public materials.</w:t>
      </w:r>
    </w:p>
    <w:p>
      <w:pPr>
        <w:pStyle w:val="ListBullet"/>
        <w:spacing w:after="40"/>
      </w:pPr>
      <w:r>
        <w:t>One external-system experiment or upstream evaluation closes with positive or negative evidence.</w:t>
      </w:r>
    </w:p>
    <w:p>
      <w:pPr>
        <w:pStyle w:val="ListBullet"/>
        <w:spacing w:after="40"/>
      </w:pPr>
      <w:r>
        <w:t>Every public claim identifies its evidence grade and limitations.</w:t>
      </w:r>
    </w:p>
    <w:p>
      <w:pPr>
        <w:pStyle w:val="Heading2"/>
      </w:pPr>
      <w:r>
        <w:t>Explicit non-claims</w:t>
      </w:r>
    </w:p>
    <w:p>
      <w:pPr>
        <w:pStyle w:val="ListBullet"/>
        <w:spacing w:after="40"/>
      </w:pPr>
      <w:r>
        <w:t>Universal security or prompt-injection prevention.</w:t>
      </w:r>
    </w:p>
    <w:p>
      <w:pPr>
        <w:pStyle w:val="ListBullet"/>
        <w:spacing w:after="40"/>
      </w:pPr>
      <w:r>
        <w:t>Enterprise production adoption.</w:t>
      </w:r>
    </w:p>
    <w:p>
      <w:pPr>
        <w:pStyle w:val="ListBullet"/>
        <w:spacing w:after="40"/>
      </w:pPr>
      <w:r>
        <w:t>A complete application ecosystem.</w:t>
      </w:r>
    </w:p>
    <w:p>
      <w:pPr>
        <w:pStyle w:val="ListBullet"/>
        <w:spacing w:after="40"/>
      </w:pPr>
      <w:r>
        <w:t>A general-purpose AI replacement.</w:t>
      </w:r>
    </w:p>
    <w:p>
      <w:pPr>
        <w:pStyle w:val="ListBullet"/>
        <w:spacing w:after="40"/>
      </w:pPr>
      <w:r>
        <w:t>Independent conformance before a genuinely independent verifier passes.</w:t>
      </w:r>
    </w:p>
    <w:p>
      <w:r>
        <w:br w:type="page"/>
      </w:r>
    </w:p>
    <w:p>
      <w:pPr>
        <w:pStyle w:val="Heading1"/>
      </w:pPr>
      <w:r>
        <w:t>5. Enterprise risk register</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64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2"/>
              </w:rPr>
              <w:t>ID</w:t>
            </w:r>
          </w:p>
        </w:tc>
        <w:tc>
          <w:tcPr>
            <w:tcW w:type="dxa" w:w="208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2"/>
              </w:rPr>
              <w:t>Risk</w:t>
            </w:r>
          </w:p>
        </w:tc>
        <w:tc>
          <w:tcPr>
            <w:tcW w:type="dxa" w:w="1152"/>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2"/>
              </w:rPr>
              <w:t>Likelihood</w:t>
            </w:r>
          </w:p>
        </w:tc>
        <w:tc>
          <w:tcPr>
            <w:tcW w:type="dxa" w:w="936"/>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2"/>
              </w:rPr>
              <w:t>Impact</w:t>
            </w:r>
          </w:p>
        </w:tc>
        <w:tc>
          <w:tcPr>
            <w:tcW w:type="dxa" w:w="4464"/>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2"/>
              </w:rPr>
              <w:t>Control</w:t>
            </w:r>
          </w:p>
        </w:tc>
        <w:tc>
          <w:tcPr>
            <w:tcW w:type="dxa" w:w="1440"/>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2"/>
              </w:rPr>
              <w:t>Accountable</w:t>
            </w:r>
          </w:p>
        </w:tc>
      </w:tr>
      <w:tr>
        <w:trPr>
          <w:cantSplit/>
        </w:trPr>
        <w:tc>
          <w:tcPr>
            <w:tcW w:type="dxa" w:w="64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R1</w:t>
            </w:r>
          </w:p>
        </w:tc>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Public truth conflict</w:t>
            </w:r>
          </w:p>
        </w:tc>
        <w:tc>
          <w:tcPr>
            <w:tcW w:type="dxa" w:w="115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93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446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Correct website, repository metadata, licenses and versions before outreach.</w:t>
            </w:r>
          </w:p>
        </w:tc>
        <w:tc>
          <w:tcPr>
            <w:tcW w:type="dxa" w:w="14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Documentation steward</w:t>
            </w:r>
          </w:p>
        </w:tc>
      </w:tr>
      <w:tr>
        <w:trPr>
          <w:cantSplit/>
        </w:trPr>
        <w:tc>
          <w:tcPr>
            <w:tcW w:type="dxa" w:w="64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R2</w:t>
            </w:r>
          </w:p>
        </w:tc>
        <w:tc>
          <w:tcPr>
            <w:tcW w:type="dxa" w:w="208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Single-person dependency</w:t>
            </w:r>
          </w:p>
        </w:tc>
        <w:tc>
          <w:tcPr>
            <w:tcW w:type="dxa" w:w="115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93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446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Primary/backup ownership and release-key recovery for Tier 0/1 assets.</w:t>
            </w:r>
          </w:p>
        </w:tc>
        <w:tc>
          <w:tcPr>
            <w:tcW w:type="dxa" w:w="14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Board + maintainers</w:t>
            </w:r>
          </w:p>
        </w:tc>
      </w:tr>
      <w:tr>
        <w:trPr>
          <w:cantSplit/>
        </w:trPr>
        <w:tc>
          <w:tcPr>
            <w:tcW w:type="dxa" w:w="64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R3</w:t>
            </w:r>
          </w:p>
        </w:tc>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Scope expansion</w:t>
            </w:r>
          </w:p>
        </w:tc>
        <w:tc>
          <w:tcPr>
            <w:tcW w:type="dxa" w:w="115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93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446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Freeze, WIP limits and exception log.</w:t>
            </w:r>
          </w:p>
        </w:tc>
        <w:tc>
          <w:tcPr>
            <w:tcW w:type="dxa" w:w="14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Program steward</w:t>
            </w:r>
          </w:p>
        </w:tc>
      </w:tr>
      <w:tr>
        <w:trPr>
          <w:cantSplit/>
        </w:trPr>
        <w:tc>
          <w:tcPr>
            <w:tcW w:type="dxa" w:w="64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R4</w:t>
            </w:r>
          </w:p>
        </w:tc>
        <w:tc>
          <w:tcPr>
            <w:tcW w:type="dxa" w:w="208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Authority ambiguity</w:t>
            </w:r>
          </w:p>
        </w:tc>
        <w:tc>
          <w:tcPr>
            <w:tcW w:type="dxa" w:w="115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93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446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Ratify canonical source, profile and service status.</w:t>
            </w:r>
          </w:p>
        </w:tc>
        <w:tc>
          <w:tcPr>
            <w:tcW w:type="dxa" w:w="14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Board + TSC</w:t>
            </w:r>
          </w:p>
        </w:tc>
      </w:tr>
      <w:tr>
        <w:trPr>
          <w:cantSplit/>
        </w:trPr>
        <w:tc>
          <w:tcPr>
            <w:tcW w:type="dxa" w:w="64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R5</w:t>
            </w:r>
          </w:p>
        </w:tc>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Claims outrun evidence</w:t>
            </w:r>
          </w:p>
        </w:tc>
        <w:tc>
          <w:tcPr>
            <w:tcW w:type="dxa" w:w="115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93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446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E0–E6 policy and evidence review before publication.</w:t>
            </w:r>
          </w:p>
        </w:tc>
        <w:tc>
          <w:tcPr>
            <w:tcW w:type="dxa" w:w="14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Evidence reviewer</w:t>
            </w:r>
          </w:p>
        </w:tc>
      </w:tr>
      <w:tr>
        <w:trPr>
          <w:cantSplit/>
        </w:trPr>
        <w:tc>
          <w:tcPr>
            <w:tcW w:type="dxa" w:w="64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R6</w:t>
            </w:r>
          </w:p>
        </w:tc>
        <w:tc>
          <w:tcPr>
            <w:tcW w:type="dxa" w:w="208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Volunteer attrition</w:t>
            </w:r>
          </w:p>
        </w:tc>
        <w:tc>
          <w:tcPr>
            <w:tcW w:type="dxa" w:w="115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Medium</w:t>
            </w:r>
          </w:p>
        </w:tc>
        <w:tc>
          <w:tcPr>
            <w:tcW w:type="dxa" w:w="93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446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Small packets, backups, pause rules and documented handoffs.</w:t>
            </w:r>
          </w:p>
        </w:tc>
        <w:tc>
          <w:tcPr>
            <w:tcW w:type="dxa" w:w="14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Program steward</w:t>
            </w:r>
          </w:p>
        </w:tc>
      </w:tr>
      <w:tr>
        <w:trPr>
          <w:cantSplit/>
        </w:trPr>
        <w:tc>
          <w:tcPr>
            <w:tcW w:type="dxa" w:w="64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R7</w:t>
            </w:r>
          </w:p>
        </w:tc>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License/IP uncertainty</w:t>
            </w:r>
          </w:p>
        </w:tc>
        <w:tc>
          <w:tcPr>
            <w:tcW w:type="dxa" w:w="115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Medium</w:t>
            </w:r>
          </w:p>
        </w:tc>
        <w:tc>
          <w:tcPr>
            <w:tcW w:type="dxa" w:w="93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446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Artifact license map, contribution terms and counsel review where material.</w:t>
            </w:r>
          </w:p>
        </w:tc>
        <w:tc>
          <w:tcPr>
            <w:tcW w:type="dxa" w:w="14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Secretary</w:t>
            </w:r>
          </w:p>
        </w:tc>
      </w:tr>
      <w:tr>
        <w:trPr>
          <w:cantSplit/>
        </w:trPr>
        <w:tc>
          <w:tcPr>
            <w:tcW w:type="dxa" w:w="64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R8</w:t>
            </w:r>
          </w:p>
        </w:tc>
        <w:tc>
          <w:tcPr>
            <w:tcW w:type="dxa" w:w="208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Security/release compromise</w:t>
            </w:r>
          </w:p>
        </w:tc>
        <w:tc>
          <w:tcPr>
            <w:tcW w:type="dxa" w:w="115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Medium</w:t>
            </w:r>
          </w:p>
        </w:tc>
        <w:tc>
          <w:tcPr>
            <w:tcW w:type="dxa" w:w="93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446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Threat model, protected releases, signed manifests and recovery drill.</w:t>
            </w:r>
          </w:p>
        </w:tc>
        <w:tc>
          <w:tcPr>
            <w:tcW w:type="dxa" w:w="14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Security steward</w:t>
            </w:r>
          </w:p>
        </w:tc>
      </w:tr>
      <w:tr>
        <w:trPr>
          <w:cantSplit/>
        </w:trPr>
        <w:tc>
          <w:tcPr>
            <w:tcW w:type="dxa" w:w="64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R9</w:t>
            </w:r>
          </w:p>
        </w:tc>
        <w:tc>
          <w:tcPr>
            <w:tcW w:type="dxa" w:w="208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Pilot dependency</w:t>
            </w:r>
          </w:p>
        </w:tc>
        <w:tc>
          <w:tcPr>
            <w:tcW w:type="dxa" w:w="115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Medium</w:t>
            </w:r>
          </w:p>
        </w:tc>
        <w:tc>
          <w:tcPr>
            <w:tcW w:type="dxa" w:w="936"/>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Medium</w:t>
            </w:r>
          </w:p>
        </w:tc>
        <w:tc>
          <w:tcPr>
            <w:tcW w:type="dxa" w:w="446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One respectful follow-up; record no-response as a valid stop result.</w:t>
            </w:r>
          </w:p>
        </w:tc>
        <w:tc>
          <w:tcPr>
            <w:tcW w:type="dxa" w:w="144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Pilot lead</w:t>
            </w:r>
          </w:p>
        </w:tc>
      </w:tr>
      <w:tr>
        <w:trPr>
          <w:cantSplit/>
        </w:trPr>
        <w:tc>
          <w:tcPr>
            <w:tcW w:type="dxa" w:w="64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R10</w:t>
            </w:r>
          </w:p>
        </w:tc>
        <w:tc>
          <w:tcPr>
            <w:tcW w:type="dxa" w:w="208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Research confusion</w:t>
            </w:r>
          </w:p>
        </w:tc>
        <w:tc>
          <w:tcPr>
            <w:tcW w:type="dxa" w:w="115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High</w:t>
            </w:r>
          </w:p>
        </w:tc>
        <w:tc>
          <w:tcPr>
            <w:tcW w:type="dxa" w:w="936"/>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Medium</w:t>
            </w:r>
          </w:p>
        </w:tc>
        <w:tc>
          <w:tcPr>
            <w:tcW w:type="dxa" w:w="446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Separate experimental assets from normative baseline.</w:t>
            </w:r>
          </w:p>
        </w:tc>
        <w:tc>
          <w:tcPr>
            <w:tcW w:type="dxa" w:w="144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2"/>
              </w:rPr>
              <w:t>Portfolio steward</w:t>
            </w:r>
          </w:p>
        </w:tc>
      </w:tr>
    </w:tbl>
    <w:p>
      <w:pPr>
        <w:spacing w:after="0"/>
      </w:pPr>
    </w:p>
    <w:p>
      <w:pPr>
        <w:pStyle w:val="Heading1"/>
      </w:pPr>
      <w:r>
        <w:t>6. Board scorecard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2880"/>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3"/>
              </w:rPr>
              <w:t>Outcome</w:t>
            </w:r>
          </w:p>
        </w:tc>
        <w:tc>
          <w:tcPr>
            <w:tcW w:type="dxa" w:w="172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3"/>
              </w:rPr>
              <w:t>Baseline</w:t>
            </w:r>
          </w:p>
        </w:tc>
        <w:tc>
          <w:tcPr>
            <w:tcW w:type="dxa" w:w="1944"/>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3"/>
              </w:rPr>
              <w:t>Day 30</w:t>
            </w:r>
          </w:p>
        </w:tc>
        <w:tc>
          <w:tcPr>
            <w:tcW w:type="dxa" w:w="1944"/>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3"/>
              </w:rPr>
              <w:t>Day 60</w:t>
            </w:r>
          </w:p>
        </w:tc>
        <w:tc>
          <w:tcPr>
            <w:tcW w:type="dxa" w:w="1944"/>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3"/>
              </w:rPr>
              <w:t>Day 90</w:t>
            </w:r>
          </w:p>
        </w:tc>
      </w:tr>
      <w:tr>
        <w:trPr>
          <w:cantSplit/>
        </w:trPr>
        <w:tc>
          <w:tcPr>
            <w:tcW w:type="dxa" w:w="288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Public fact consistency</w:t>
            </w:r>
          </w:p>
        </w:tc>
        <w:tc>
          <w:tcPr>
            <w:tcW w:type="dxa" w:w="172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Conflicting</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100% reconciled</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Maintained</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Maintained</w:t>
            </w:r>
          </w:p>
        </w:tc>
      </w:tr>
      <w:tr>
        <w:trPr>
          <w:cantSplit/>
        </w:trPr>
        <w:tc>
          <w:tcPr>
            <w:tcW w:type="dxa" w:w="288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Portfolio classification</w:t>
            </w:r>
          </w:p>
        </w:tc>
        <w:tc>
          <w:tcPr>
            <w:tcW w:type="dxa" w:w="172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Provisional</w:t>
            </w:r>
          </w:p>
        </w:tc>
        <w:tc>
          <w:tcPr>
            <w:tcW w:type="dxa" w:w="194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100% recorded</w:t>
            </w:r>
          </w:p>
        </w:tc>
        <w:tc>
          <w:tcPr>
            <w:tcW w:type="dxa" w:w="194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Exceptions closed</w:t>
            </w:r>
          </w:p>
        </w:tc>
        <w:tc>
          <w:tcPr>
            <w:tcW w:type="dxa" w:w="194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Public and current</w:t>
            </w:r>
          </w:p>
        </w:tc>
      </w:tr>
      <w:tr>
        <w:trPr>
          <w:cantSplit/>
        </w:trPr>
        <w:tc>
          <w:tcPr>
            <w:tcW w:type="dxa" w:w="288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Core Profile</w:t>
            </w:r>
          </w:p>
        </w:tc>
        <w:tc>
          <w:tcPr>
            <w:tcW w:type="dxa" w:w="172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Absent</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Draft reviewed</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Frozen v0.1</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Published</w:t>
            </w:r>
          </w:p>
        </w:tc>
      </w:tr>
      <w:tr>
        <w:trPr>
          <w:cantSplit/>
        </w:trPr>
        <w:tc>
          <w:tcPr>
            <w:tcW w:type="dxa" w:w="288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Canonical vectors</w:t>
            </w:r>
          </w:p>
        </w:tc>
        <w:tc>
          <w:tcPr>
            <w:tcW w:type="dxa" w:w="172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Fragmented</w:t>
            </w:r>
          </w:p>
        </w:tc>
        <w:tc>
          <w:tcPr>
            <w:tcW w:type="dxa" w:w="194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Corpus designed</w:t>
            </w:r>
          </w:p>
        </w:tc>
        <w:tc>
          <w:tcPr>
            <w:tcW w:type="dxa" w:w="194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Two implementations run</w:t>
            </w:r>
          </w:p>
        </w:tc>
        <w:tc>
          <w:tcPr>
            <w:tcW w:type="dxa" w:w="194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100% agreed</w:t>
            </w:r>
          </w:p>
        </w:tc>
      </w:tr>
      <w:tr>
        <w:trPr>
          <w:cantSplit/>
        </w:trPr>
        <w:tc>
          <w:tcPr>
            <w:tcW w:type="dxa" w:w="288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Release</w:t>
            </w:r>
          </w:p>
        </w:tc>
        <w:tc>
          <w:tcPr>
            <w:tcW w:type="dxa" w:w="172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Repository-specific</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Manifest design</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Release candidate</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Baseline published</w:t>
            </w:r>
          </w:p>
        </w:tc>
      </w:tr>
      <w:tr>
        <w:trPr>
          <w:cantSplit/>
        </w:trPr>
        <w:tc>
          <w:tcPr>
            <w:tcW w:type="dxa" w:w="288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External evidence</w:t>
            </w:r>
          </w:p>
        </w:tc>
        <w:tc>
          <w:tcPr>
            <w:tcW w:type="dxa" w:w="172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E2 maximum</w:t>
            </w:r>
          </w:p>
        </w:tc>
        <w:tc>
          <w:tcPr>
            <w:tcW w:type="dxa" w:w="194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Pilot selected</w:t>
            </w:r>
          </w:p>
        </w:tc>
        <w:tc>
          <w:tcPr>
            <w:tcW w:type="dxa" w:w="194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Experiment executed</w:t>
            </w:r>
          </w:p>
        </w:tc>
        <w:tc>
          <w:tcPr>
            <w:tcW w:type="dxa" w:w="1944"/>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Result published</w:t>
            </w:r>
          </w:p>
        </w:tc>
      </w:tr>
      <w:tr>
        <w:trPr>
          <w:cantSplit/>
        </w:trPr>
        <w:tc>
          <w:tcPr>
            <w:tcW w:type="dxa" w:w="288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Bus factor</w:t>
            </w:r>
          </w:p>
        </w:tc>
        <w:tc>
          <w:tcPr>
            <w:tcW w:type="dxa" w:w="172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Unverified</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Owners/backups named</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Coverage tested</w:t>
            </w:r>
          </w:p>
        </w:tc>
        <w:tc>
          <w:tcPr>
            <w:tcW w:type="dxa" w:w="1944"/>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3"/>
              </w:rPr>
              <w:t>No Tier 0/1 single point</w:t>
            </w:r>
          </w:p>
        </w:tc>
      </w:tr>
    </w:tbl>
    <w:p>
      <w:pPr>
        <w:spacing w:after="0"/>
      </w:pPr>
    </w:p>
    <w:p>
      <w:pPr>
        <w:pStyle w:val="Heading2"/>
      </w:pPr>
      <w:r>
        <w:t>Review sign-off</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592"/>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Role</w:t>
            </w:r>
          </w:p>
        </w:tc>
        <w:tc>
          <w:tcPr>
            <w:tcW w:type="dxa" w:w="244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Name</w:t>
            </w:r>
          </w:p>
        </w:tc>
        <w:tc>
          <w:tcPr>
            <w:tcW w:type="dxa" w:w="2448"/>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Decision</w:t>
            </w:r>
          </w:p>
        </w:tc>
        <w:tc>
          <w:tcPr>
            <w:tcW w:type="dxa" w:w="2880"/>
            <w:shd w:fill="1F4E7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pPr>
            <w:r>
              <w:rPr>
                <w:b/>
                <w:color w:val="FFFFFF"/>
                <w:sz w:val="15"/>
              </w:rPr>
              <w:t>Date / notes</w:t>
            </w:r>
          </w:p>
        </w:tc>
      </w:tr>
      <w:tr>
        <w:trPr>
          <w:cantSplit/>
        </w:trPr>
        <w:tc>
          <w:tcPr>
            <w:tcW w:type="dxa" w:w="259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Board / Foundation lead</w:t>
            </w:r>
          </w:p>
        </w:tc>
        <w:tc>
          <w:tcPr>
            <w:tcW w:type="dxa" w:w="244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244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Approve / revise / pause</w:t>
            </w:r>
          </w:p>
        </w:tc>
        <w:tc>
          <w:tcPr>
            <w:tcW w:type="dxa" w:w="288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r>
      <w:tr>
        <w:trPr>
          <w:cantSplit/>
        </w:trPr>
        <w:tc>
          <w:tcPr>
            <w:tcW w:type="dxa" w:w="2592"/>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Technical authority</w:t>
            </w:r>
          </w:p>
        </w:tc>
        <w:tc>
          <w:tcPr>
            <w:tcW w:type="dxa" w:w="244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2448"/>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Approve / revise / pause</w:t>
            </w:r>
          </w:p>
        </w:tc>
        <w:tc>
          <w:tcPr>
            <w:tcW w:type="dxa" w:w="2880"/>
            <w:shd w:fill="F3F7FA"/>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r>
      <w:tr>
        <w:trPr>
          <w:cantSplit/>
        </w:trPr>
        <w:tc>
          <w:tcPr>
            <w:tcW w:type="dxa" w:w="2592"/>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Secretary / record owner</w:t>
            </w:r>
          </w:p>
        </w:tc>
        <w:tc>
          <w:tcPr>
            <w:tcW w:type="dxa" w:w="244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c>
          <w:tcPr>
            <w:tcW w:type="dxa" w:w="2448"/>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t>Recorded / pending</w:t>
            </w:r>
          </w:p>
        </w:tc>
        <w:tc>
          <w:tcPr>
            <w:tcW w:type="dxa" w:w="2880"/>
            <w:vAlign w:val="center"/>
            <w:tcBorders>
              <w:top w:val="single" w:sz="4" w:color="D9E2F3"/>
              <w:left w:val="single" w:sz="4" w:color="D9E2F3"/>
              <w:bottom w:val="single" w:sz="4" w:color="D9E2F3"/>
              <w:right w:val="single" w:sz="4" w:color="D9E2F3"/>
              <w:insideH w:val="single" w:sz="4" w:color="D9E2F3"/>
              <w:insideV w:val="single" w:sz="4" w:color="D9E2F3"/>
            </w:tcBorders>
            <w:tcMar>
              <w:top w:w="72" w:type="dxa"/>
              <w:start w:w="90" w:type="dxa"/>
              <w:bottom w:w="72" w:type="dxa"/>
              <w:end w:w="90" w:type="dxa"/>
            </w:tcMar>
          </w:tcPr>
          <w:p>
            <w:pPr>
              <w:spacing w:after="0" w:line="240" w:lineRule="auto"/>
            </w:pPr>
            <w:r>
              <w:rPr>
                <w:sz w:val="15"/>
              </w:rPr>
            </w:r>
          </w:p>
        </w:tc>
      </w:tr>
    </w:tbl>
    <w:p>
      <w:pPr>
        <w:spacing w:after="0"/>
      </w:pPr>
    </w:p>
    <w:sectPr w:rsidR="00FC693F" w:rsidRPr="0006063C" w:rsidSect="00034616">
      <w:headerReference w:type="default" r:id="rId9"/>
      <w:footerReference w:type="default" r:id="rId10"/>
      <w:pgSz w:w="12240" w:h="15840"/>
      <w:pgMar w:top="1008"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5"/>
      </w:rPr>
      <w:t xml:space="preserve">Executive Decision Brief  •  10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5"/>
      </w:rPr>
      <w:t>UOR FOUNDATION  |  FINAL REVIEW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Aptos" w:hAnsi="Aptos" w:eastAsia="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Display" w:hAnsi="Aptos Display" w:eastAsia="Aptos Display"/>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 Lead"/>
    <w:pPr>
      <w:spacing w:after="160" w:line="264" w:lineRule="auto"/>
    </w:pPr>
    <w:rPr>
      <w:rFonts w:ascii="Aptos" w:hAnsi="Aptos"/>
      <w:b/>
      <w:sz w:val="22"/>
    </w:rPr>
  </w:style>
  <w:style w:type="paragraph" w:customStyle="1" w:styleId="DecisionNote">
    <w:name w:val="Decision Note"/>
    <w:pPr>
      <w:spacing w:after="120"/>
    </w:pPr>
    <w:rPr>
      <w:rFonts w:ascii="Aptos" w:hAnsi="Aptos"/>
      <w:b/>
      <w:color w:val="1F4E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