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i w:val="0"/>
          <w:iCs w:val="0"/>
          <w:color w:val="2f6f5e"/>
          <w:sz w:val="36"/>
          <w:szCs w:val="36"/>
          <w:rtl w:val="0"/>
        </w:rPr>
        <w:t xml:space="preserve">CITIZEN GARDENS</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Fonts w:ascii="Calibri" w:cs="Calibri" w:eastAsia="Calibri" w:hAnsi="Calibri"/>
          <w:b w:val="1"/>
          <w:bCs w:val="1"/>
          <w:i w:val="0"/>
          <w:iCs w:val="0"/>
          <w:color w:val="1b3a2f"/>
          <w:sz w:val="32"/>
          <w:szCs w:val="32"/>
          <w:rtl w:val="0"/>
        </w:rPr>
        <w:t xml:space="preserve">Unified Civic Infrastructure — Outline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Calibri" w:cs="Calibri" w:eastAsia="Calibri" w:hAnsi="Calibri"/>
          <w:b w:val="0"/>
          <w:bCs w:val="0"/>
          <w:i w:val="1"/>
          <w:iCs w:val="1"/>
          <w:color w:val="8a6d3b"/>
          <w:sz w:val="20"/>
          <w:szCs w:val="20"/>
          <w:rtl w:val="0"/>
        </w:rPr>
        <w:t xml:space="preserve">Phase Mirror  ·  Bushidō  ·  Buurtzorg  ·  Multiplicity Social Physics</w:t>
      </w:r>
      <w:r w:rsidDel="00000000" w:rsidR="00000000" w:rsidRPr="00000000">
        <w:rPr>
          <w:rtl w:val="0"/>
        </w:rPr>
      </w:r>
    </w:p>
    <w:p w:rsidR="00000000" w:rsidDel="00000000" w:rsidP="00000000" w:rsidRDefault="00000000" w:rsidRPr="00000000" w14:paraId="00000004">
      <w:pPr>
        <w:spacing w:after="200" w:before="0" w:line="276" w:lineRule="auto"/>
        <w:rPr/>
      </w:pPr>
      <w:r w:rsidDel="00000000" w:rsidR="00000000" w:rsidRPr="00000000">
        <w:rPr>
          <w:rFonts w:ascii="Calibri" w:cs="Calibri" w:eastAsia="Calibri" w:hAnsi="Calibri"/>
          <w:b w:val="0"/>
          <w:bCs w:val="0"/>
          <w:i w:val="0"/>
          <w:iCs w:val="0"/>
          <w:color w:val="2f6f5e"/>
          <w:sz w:val="18"/>
          <w:szCs w:val="18"/>
          <w:rtl w:val="0"/>
        </w:rPr>
        <w:t xml:space="preserve">Version 1.0  ·  2 September 2026  ·  Binding companion to Governing Principles v1.1  ·  LawfulRecursionVersion 1.0</w:t>
      </w:r>
      <w:r w:rsidDel="00000000" w:rsidR="00000000" w:rsidRPr="00000000">
        <w:rPr>
          <w:rtl w:val="0"/>
        </w:rPr>
      </w:r>
    </w:p>
    <w:p w:rsidR="00000000" w:rsidDel="00000000" w:rsidP="00000000" w:rsidRDefault="00000000" w:rsidRPr="00000000" w14:paraId="00000005">
      <w:pPr>
        <w:spacing w:after="160" w:before="0" w:line="276" w:lineRule="auto"/>
        <w:rPr/>
      </w:pPr>
      <w:r w:rsidDel="00000000" w:rsidR="00000000" w:rsidRPr="00000000">
        <w:rPr>
          <w:rFonts w:ascii="Calibri" w:cs="Calibri" w:eastAsia="Calibri" w:hAnsi="Calibri"/>
          <w:b w:val="0"/>
          <w:bCs w:val="0"/>
          <w:i w:val="0"/>
          <w:iCs w:val="0"/>
          <w:color w:val="1b3a2f"/>
          <w:sz w:val="22"/>
          <w:szCs w:val="22"/>
          <w:rtl w:val="0"/>
        </w:rPr>
        <w:t xml:space="preserve">This outline boils the formation decisions into one civic stack. It is not articles of organization. It is the map of persons, rails, and firewalled seats that turn the engine into a playground without turning members into a cap table.</w:t>
      </w:r>
      <w:r w:rsidDel="00000000" w:rsidR="00000000" w:rsidRPr="00000000">
        <w:rPr>
          <w:rtl w:val="0"/>
        </w:rPr>
      </w:r>
    </w:p>
    <w:p w:rsidR="00000000" w:rsidDel="00000000" w:rsidP="00000000" w:rsidRDefault="00000000" w:rsidRPr="00000000" w14:paraId="00000006">
      <w:pPr>
        <w:pStyle w:val="Heading1"/>
        <w:pBdr>
          <w:bottom w:color="2f6f5e" w:space="4" w:sz="12" w:val="single"/>
        </w:pBdr>
        <w:spacing w:after="160" w:before="360" w:lineRule="auto"/>
        <w:rPr/>
      </w:pPr>
      <w:r w:rsidDel="00000000" w:rsidR="00000000" w:rsidRPr="00000000">
        <w:rPr>
          <w:rFonts w:ascii="Calibri" w:cs="Calibri" w:eastAsia="Calibri" w:hAnsi="Calibri"/>
          <w:b w:val="1"/>
          <w:bCs w:val="1"/>
          <w:i w:val="0"/>
          <w:iCs w:val="0"/>
          <w:color w:val="2f6f5e"/>
          <w:sz w:val="28"/>
          <w:szCs w:val="28"/>
          <w:rtl w:val="0"/>
        </w:rPr>
        <w:t xml:space="preserve">1. One sentence</w:t>
      </w:r>
      <w:r w:rsidDel="00000000" w:rsidR="00000000" w:rsidRPr="00000000">
        <w:rPr>
          <w:rtl w:val="0"/>
        </w:rPr>
      </w:r>
    </w:p>
    <w:p w:rsidR="00000000" w:rsidDel="00000000" w:rsidP="00000000" w:rsidRDefault="00000000" w:rsidRPr="00000000" w14:paraId="00000007">
      <w:pPr>
        <w:spacing w:after="160" w:before="0" w:line="276" w:lineRule="auto"/>
        <w:rPr/>
      </w:pPr>
      <w:r w:rsidDel="00000000" w:rsidR="00000000" w:rsidRPr="00000000">
        <w:rPr>
          <w:rFonts w:ascii="Calibri" w:cs="Calibri" w:eastAsia="Calibri" w:hAnsi="Calibri"/>
          <w:b w:val="0"/>
          <w:bCs w:val="0"/>
          <w:i w:val="0"/>
          <w:iCs w:val="0"/>
          <w:color w:val="1b3a2f"/>
          <w:sz w:val="22"/>
          <w:szCs w:val="22"/>
          <w:rtl w:val="0"/>
        </w:rPr>
        <w:t xml:space="preserve">Citizen Gardens is a Wyoming unincorporated nonprofit association that prototypes a multiplicative society; a licensed operator hosts Phase Mirror; Sovereignty Nodes do the work; surplus funds purpose; credentials attest practitioners; equity never mints a diploma.</w:t>
      </w:r>
      <w:r w:rsidDel="00000000" w:rsidR="00000000" w:rsidRPr="00000000">
        <w:rPr>
          <w:rtl w:val="0"/>
        </w:rPr>
      </w:r>
    </w:p>
    <w:p w:rsidR="00000000" w:rsidDel="00000000" w:rsidP="00000000" w:rsidRDefault="00000000" w:rsidRPr="00000000" w14:paraId="00000008">
      <w:pPr>
        <w:pStyle w:val="Heading1"/>
        <w:pBdr>
          <w:bottom w:color="2f6f5e" w:space="4" w:sz="12" w:val="single"/>
        </w:pBdr>
        <w:spacing w:after="160" w:before="360" w:lineRule="auto"/>
        <w:rPr/>
      </w:pPr>
      <w:r w:rsidDel="00000000" w:rsidR="00000000" w:rsidRPr="00000000">
        <w:rPr>
          <w:rFonts w:ascii="Calibri" w:cs="Calibri" w:eastAsia="Calibri" w:hAnsi="Calibri"/>
          <w:b w:val="1"/>
          <w:bCs w:val="1"/>
          <w:i w:val="0"/>
          <w:iCs w:val="0"/>
          <w:color w:val="2f6f5e"/>
          <w:sz w:val="28"/>
          <w:szCs w:val="28"/>
          <w:rtl w:val="0"/>
        </w:rPr>
        <w:t xml:space="preserve">2. What this infrastructure is</w:t>
      </w:r>
      <w:r w:rsidDel="00000000" w:rsidR="00000000" w:rsidRPr="00000000">
        <w:rPr>
          <w:rtl w:val="0"/>
        </w:rPr>
      </w:r>
    </w:p>
    <w:p w:rsidR="00000000" w:rsidDel="00000000" w:rsidP="00000000" w:rsidRDefault="00000000" w:rsidRPr="00000000" w14:paraId="00000009">
      <w:pPr>
        <w:spacing w:after="160" w:before="0" w:line="276" w:lineRule="auto"/>
        <w:rPr/>
      </w:pPr>
      <w:r w:rsidDel="00000000" w:rsidR="00000000" w:rsidRPr="00000000">
        <w:rPr>
          <w:rFonts w:ascii="Calibri" w:cs="Calibri" w:eastAsia="Calibri" w:hAnsi="Calibri"/>
          <w:b w:val="0"/>
          <w:bCs w:val="0"/>
          <w:i w:val="0"/>
          <w:iCs w:val="0"/>
          <w:color w:val="1b3a2f"/>
          <w:sz w:val="22"/>
          <w:szCs w:val="22"/>
          <w:rtl w:val="0"/>
        </w:rPr>
        <w:t xml:space="preserve">Unified civic infrastructure here means four jobs in one federation, not one company that does everything.</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Legal person that cannot be acquired for private residual claims.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Work topology that scales by splitting teams, not by adding managers.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Decision protocol that names dissonance and binds owners, metrics, and horizons.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Duty code for people who hold power over neighbors, data, and treasuries.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Value system that counts reciprocity as social energy and refuses to cash it out as a dividend.</w:t>
      </w:r>
      <w:r w:rsidDel="00000000" w:rsidR="00000000" w:rsidRPr="00000000">
        <w:rPr>
          <w:rtl w:val="0"/>
        </w:rPr>
      </w:r>
    </w:p>
    <w:p w:rsidR="00000000" w:rsidDel="00000000" w:rsidP="00000000" w:rsidRDefault="00000000" w:rsidRPr="00000000" w14:paraId="0000000F">
      <w:pPr>
        <w:spacing w:after="160" w:before="0" w:line="276" w:lineRule="auto"/>
        <w:rPr/>
      </w:pPr>
      <w:r w:rsidDel="00000000" w:rsidR="00000000" w:rsidRPr="00000000">
        <w:rPr>
          <w:rFonts w:ascii="Calibri" w:cs="Calibri" w:eastAsia="Calibri" w:hAnsi="Calibri"/>
          <w:b w:val="0"/>
          <w:bCs w:val="0"/>
          <w:i w:val="0"/>
          <w:iCs w:val="0"/>
          <w:color w:val="1b3a2f"/>
          <w:sz w:val="22"/>
          <w:szCs w:val="22"/>
          <w:rtl w:val="0"/>
        </w:rPr>
        <w:t xml:space="preserve">The playground is Civic R&amp;D as a live Sovereignty Node. The engine is Phase Mirror plus Multiplicity. The housing is the UNA, DUNA-ready.</w:t>
      </w:r>
      <w:r w:rsidDel="00000000" w:rsidR="00000000" w:rsidRPr="00000000">
        <w:rPr>
          <w:rtl w:val="0"/>
        </w:rPr>
      </w:r>
    </w:p>
    <w:p w:rsidR="00000000" w:rsidDel="00000000" w:rsidP="00000000" w:rsidRDefault="00000000" w:rsidRPr="00000000" w14:paraId="00000010">
      <w:pPr>
        <w:pStyle w:val="Heading1"/>
        <w:pBdr>
          <w:bottom w:color="2f6f5e" w:space="4" w:sz="12" w:val="single"/>
        </w:pBdr>
        <w:spacing w:after="160" w:before="360" w:lineRule="auto"/>
        <w:rPr/>
      </w:pPr>
      <w:r w:rsidDel="00000000" w:rsidR="00000000" w:rsidRPr="00000000">
        <w:rPr>
          <w:rFonts w:ascii="Calibri" w:cs="Calibri" w:eastAsia="Calibri" w:hAnsi="Calibri"/>
          <w:b w:val="1"/>
          <w:bCs w:val="1"/>
          <w:i w:val="0"/>
          <w:iCs w:val="0"/>
          <w:color w:val="2f6f5e"/>
          <w:sz w:val="28"/>
          <w:szCs w:val="28"/>
          <w:rtl w:val="0"/>
        </w:rPr>
        <w:t xml:space="preserve">3. Two legal persons — the wall</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880"/>
        <w:gridCol w:w="2880"/>
        <w:tblGridChange w:id="0">
          <w:tblGrid>
            <w:gridCol w:w="1800"/>
            <w:gridCol w:w="2520"/>
            <w:gridCol w:w="2880"/>
            <w:gridCol w:w="2880"/>
          </w:tblGrid>
        </w:tblGridChange>
      </w:tblGrid>
      <w:tr>
        <w:trPr>
          <w:cantSplit w:val="0"/>
          <w:tblHeader w:val="1"/>
        </w:trPr>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11">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Person</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12">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Form</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13">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Holds</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14">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Does not hold</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15">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Citizen Gardens</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16">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WY UNA now (W.S. 17-22); DUNA at 100 members (W.S. 17-32)</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17">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Purpose, register, gardens, literary definition, playground envelope, mark as association owner</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18">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SaaS equity, member dividends, cert issuance as a product mint</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19">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Phase Mirror operator</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1A">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Separate WY LLC (DAO LLC only with a public contract ID in 30 days)</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1B">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Hosted oracle, managed-service license, seat revenue, PMCP commercial terms, remittance duty</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1C">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Membership list, garden title, Examiner veto, UNA votes</w:t>
            </w:r>
            <w:r w:rsidDel="00000000" w:rsidR="00000000" w:rsidRPr="00000000">
              <w:rPr>
                <w:rtl w:val="0"/>
              </w:rPr>
            </w:r>
          </w:p>
        </w:tc>
      </w:tr>
    </w:tbl>
    <w:p w:rsidR="00000000" w:rsidDel="00000000" w:rsidP="00000000" w:rsidRDefault="00000000" w:rsidRPr="00000000" w14:paraId="0000001D">
      <w:pPr>
        <w:spacing w:after="160" w:lineRule="auto"/>
        <w:rPr/>
      </w:pPr>
      <w:r w:rsidDel="00000000" w:rsidR="00000000" w:rsidRPr="00000000">
        <w:rPr>
          <w:rtl w:val="0"/>
        </w:rPr>
      </w:r>
    </w:p>
    <w:p w:rsidR="00000000" w:rsidDel="00000000" w:rsidP="00000000" w:rsidRDefault="00000000" w:rsidRPr="00000000" w14:paraId="0000001E">
      <w:pPr>
        <w:spacing w:after="160" w:before="0" w:line="276" w:lineRule="auto"/>
        <w:rPr/>
      </w:pPr>
      <w:r w:rsidDel="00000000" w:rsidR="00000000" w:rsidRPr="00000000">
        <w:rPr>
          <w:rFonts w:ascii="Calibri" w:cs="Calibri" w:eastAsia="Calibri" w:hAnsi="Calibri"/>
          <w:b w:val="0"/>
          <w:bCs w:val="0"/>
          <w:i w:val="0"/>
          <w:iCs w:val="0"/>
          <w:color w:val="1b3a2f"/>
          <w:sz w:val="22"/>
          <w:szCs w:val="22"/>
          <w:rtl w:val="0"/>
        </w:rPr>
        <w:t xml:space="preserve">No LLC-to-nonprofit-to-DUNA graduation. Same association changes status at 100 consenting members. Drop below 100 and it is a UNA again. Do not file a DAO LLC named Citizen Gardens and hope it becomes a charity.</w:t>
      </w:r>
      <w:r w:rsidDel="00000000" w:rsidR="00000000" w:rsidRPr="00000000">
        <w:rPr>
          <w:rtl w:val="0"/>
        </w:rPr>
      </w:r>
    </w:p>
    <w:p w:rsidR="00000000" w:rsidDel="00000000" w:rsidP="00000000" w:rsidRDefault="00000000" w:rsidRPr="00000000" w14:paraId="0000001F">
      <w:pPr>
        <w:pStyle w:val="Heading1"/>
        <w:pBdr>
          <w:bottom w:color="2f6f5e" w:space="4" w:sz="12" w:val="single"/>
        </w:pBdr>
        <w:spacing w:after="160" w:before="360" w:lineRule="auto"/>
        <w:rPr/>
      </w:pPr>
      <w:r w:rsidDel="00000000" w:rsidR="00000000" w:rsidRPr="00000000">
        <w:rPr>
          <w:rFonts w:ascii="Calibri" w:cs="Calibri" w:eastAsia="Calibri" w:hAnsi="Calibri"/>
          <w:b w:val="1"/>
          <w:bCs w:val="1"/>
          <w:i w:val="0"/>
          <w:iCs w:val="0"/>
          <w:color w:val="2f6f5e"/>
          <w:sz w:val="28"/>
          <w:szCs w:val="28"/>
          <w:rtl w:val="0"/>
        </w:rPr>
        <w:t xml:space="preserve">4. Four infrastructures — who does which job</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880"/>
        <w:gridCol w:w="4680"/>
        <w:tblGridChange w:id="0">
          <w:tblGrid>
            <w:gridCol w:w="2520"/>
            <w:gridCol w:w="2880"/>
            <w:gridCol w:w="4680"/>
          </w:tblGrid>
        </w:tblGridChange>
      </w:tblGrid>
      <w:tr>
        <w:trPr>
          <w:cantSplit w:val="0"/>
          <w:tblHeader w:val="1"/>
        </w:trPr>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20">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Layer</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21">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Job</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22">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Binding artifact</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23">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Wyoming UNA / DUNA</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24">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Legal person, liability shield, no distributions</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25">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Governing Principles v1.1; EIN; $5 agent statement</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26">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Buurtzorg topology</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27">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How work scales</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28">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Sovereignty Node ≤12; split rule; coaches without command; overhead ≤15%</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29">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Bushidō</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2A">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How operators hold themselves</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2B">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Eight virtues as duty, not costume; fidelity to purpose; resignation intact</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2C">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Phase Mirror</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2D">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How decisions bind</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2E">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Extract → Map → Rank → Levers → precision question; L0 invariants</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2F">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Multiplicity Social Physics</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30">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How value is counted</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31">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2R+1; ELM credits; greenhouse living dividends; no credit-bought votes</w:t>
            </w:r>
            <w:r w:rsidDel="00000000" w:rsidR="00000000" w:rsidRPr="00000000">
              <w:rPr>
                <w:rtl w:val="0"/>
              </w:rPr>
            </w:r>
          </w:p>
        </w:tc>
      </w:tr>
    </w:tbl>
    <w:p w:rsidR="00000000" w:rsidDel="00000000" w:rsidP="00000000" w:rsidRDefault="00000000" w:rsidRPr="00000000" w14:paraId="00000032">
      <w:pPr>
        <w:pStyle w:val="Heading1"/>
        <w:pBdr>
          <w:bottom w:color="2f6f5e" w:space="4" w:sz="12" w:val="single"/>
        </w:pBdr>
        <w:spacing w:after="160" w:before="360" w:lineRule="auto"/>
        <w:rPr/>
      </w:pPr>
      <w:r w:rsidDel="00000000" w:rsidR="00000000" w:rsidRPr="00000000">
        <w:rPr>
          <w:rFonts w:ascii="Calibri" w:cs="Calibri" w:eastAsia="Calibri" w:hAnsi="Calibri"/>
          <w:b w:val="1"/>
          <w:bCs w:val="1"/>
          <w:i w:val="0"/>
          <w:iCs w:val="0"/>
          <w:color w:val="2f6f5e"/>
          <w:sz w:val="28"/>
          <w:szCs w:val="28"/>
          <w:rtl w:val="0"/>
        </w:rPr>
        <w:t xml:space="preserve">5. Formation ladder</w:t>
      </w:r>
      <w:r w:rsidDel="00000000" w:rsidR="00000000" w:rsidRPr="00000000">
        <w:rPr>
          <w:rtl w:val="0"/>
        </w:rPr>
      </w:r>
    </w:p>
    <w:p w:rsidR="00000000" w:rsidDel="00000000" w:rsidP="00000000" w:rsidRDefault="00000000" w:rsidRPr="00000000" w14:paraId="00000033">
      <w:pPr>
        <w:pStyle w:val="Heading2"/>
        <w:spacing w:after="80" w:before="240" w:lineRule="auto"/>
        <w:rPr/>
      </w:pPr>
      <w:r w:rsidDel="00000000" w:rsidR="00000000" w:rsidRPr="00000000">
        <w:rPr>
          <w:rFonts w:ascii="Calibri" w:cs="Calibri" w:eastAsia="Calibri" w:hAnsi="Calibri"/>
          <w:b w:val="1"/>
          <w:bCs w:val="1"/>
          <w:i w:val="0"/>
          <w:iCs w:val="0"/>
          <w:color w:val="1b3a2f"/>
          <w:sz w:val="24"/>
          <w:szCs w:val="24"/>
          <w:rtl w:val="0"/>
        </w:rPr>
        <w:t xml:space="preserve">Now</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Two founders sign Governing Principles §17. That is UNA formation.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Membership register opens. Founders are members one and two. Count is public.</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EIN as unincorporated association. Wyoming statement appointing agent ($5).</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One association treasury, dual control. Threshold on day one: USD 2,500.</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Legal page live: “Wyoming unincorporated nonprofit association. DUNA-ready.”</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Trademark in the association’s name once the mark is on named services.</w:t>
      </w:r>
      <w:r w:rsidDel="00000000" w:rsidR="00000000" w:rsidRPr="00000000">
        <w:rPr>
          <w:rtl w:val="0"/>
        </w:rPr>
      </w:r>
    </w:p>
    <w:p w:rsidR="00000000" w:rsidDel="00000000" w:rsidP="00000000" w:rsidRDefault="00000000" w:rsidRPr="00000000" w14:paraId="0000003A">
      <w:pPr>
        <w:pStyle w:val="Heading2"/>
        <w:spacing w:after="80" w:before="240" w:lineRule="auto"/>
        <w:rPr/>
      </w:pPr>
      <w:r w:rsidDel="00000000" w:rsidR="00000000" w:rsidRPr="00000000">
        <w:rPr>
          <w:rFonts w:ascii="Calibri" w:cs="Calibri" w:eastAsia="Calibri" w:hAnsi="Calibri"/>
          <w:b w:val="1"/>
          <w:bCs w:val="1"/>
          <w:i w:val="0"/>
          <w:iCs w:val="0"/>
          <w:color w:val="1b3a2f"/>
          <w:sz w:val="24"/>
          <w:szCs w:val="24"/>
          <w:rtl w:val="0"/>
        </w:rPr>
        <w:t xml:space="preserve">Later</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At 100 consenting members on the public register: same body is a DUNA. No new constitution.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501(c)(3) only when a grant or donor requires it. Separate filing. Not a costume change.</w:t>
      </w:r>
      <w:r w:rsidDel="00000000" w:rsidR="00000000" w:rsidRPr="00000000">
        <w:rPr>
          <w:rtl w:val="0"/>
        </w:rPr>
      </w:r>
    </w:p>
    <w:p w:rsidR="00000000" w:rsidDel="00000000" w:rsidP="00000000" w:rsidRDefault="00000000" w:rsidRPr="00000000" w14:paraId="0000003D">
      <w:pPr>
        <w:pStyle w:val="Heading2"/>
        <w:spacing w:after="80" w:before="240" w:lineRule="auto"/>
        <w:rPr/>
      </w:pPr>
      <w:r w:rsidDel="00000000" w:rsidR="00000000" w:rsidRPr="00000000">
        <w:rPr>
          <w:rFonts w:ascii="Calibri" w:cs="Calibri" w:eastAsia="Calibri" w:hAnsi="Calibri"/>
          <w:b w:val="1"/>
          <w:bCs w:val="1"/>
          <w:i w:val="0"/>
          <w:iCs w:val="0"/>
          <w:color w:val="1b3a2f"/>
          <w:sz w:val="24"/>
          <w:szCs w:val="24"/>
          <w:rtl w:val="0"/>
        </w:rPr>
        <w:t xml:space="preserve">Public language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Use: Citizen Gardens, a Wyoming unincorporated nonprofit association.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Do not use yet: Citizen Gardens DUNA, Citizen Gardens DAO, Citizen Gardens DAO LLC.</w:t>
      </w:r>
      <w:r w:rsidDel="00000000" w:rsidR="00000000" w:rsidRPr="00000000">
        <w:rPr>
          <w:rtl w:val="0"/>
        </w:rPr>
      </w:r>
    </w:p>
    <w:p w:rsidR="00000000" w:rsidDel="00000000" w:rsidP="00000000" w:rsidRDefault="00000000" w:rsidRPr="00000000" w14:paraId="00000040">
      <w:pPr>
        <w:pStyle w:val="Heading1"/>
        <w:pBdr>
          <w:bottom w:color="2f6f5e" w:space="4" w:sz="12" w:val="single"/>
        </w:pBdr>
        <w:spacing w:after="160" w:before="360" w:lineRule="auto"/>
        <w:rPr/>
      </w:pPr>
      <w:r w:rsidDel="00000000" w:rsidR="00000000" w:rsidRPr="00000000">
        <w:rPr>
          <w:rFonts w:ascii="Calibri" w:cs="Calibri" w:eastAsia="Calibri" w:hAnsi="Calibri"/>
          <w:b w:val="1"/>
          <w:bCs w:val="1"/>
          <w:i w:val="0"/>
          <w:iCs w:val="0"/>
          <w:color w:val="2f6f5e"/>
          <w:sz w:val="28"/>
          <w:szCs w:val="28"/>
          <w:rtl w:val="0"/>
        </w:rPr>
        <w:t xml:space="preserve">6. Capital — four doors, no fifth</w:t>
      </w:r>
      <w:r w:rsidDel="00000000" w:rsidR="00000000" w:rsidRPr="00000000">
        <w:rPr>
          <w:rtl w:val="0"/>
        </w:rPr>
      </w:r>
    </w:p>
    <w:p w:rsidR="00000000" w:rsidDel="00000000" w:rsidP="00000000" w:rsidRDefault="00000000" w:rsidRPr="00000000" w14:paraId="00000041">
      <w:pPr>
        <w:spacing w:after="160" w:before="0" w:line="276" w:lineRule="auto"/>
        <w:rPr/>
      </w:pPr>
      <w:r w:rsidDel="00000000" w:rsidR="00000000" w:rsidRPr="00000000">
        <w:rPr>
          <w:rFonts w:ascii="Calibri" w:cs="Calibri" w:eastAsia="Calibri" w:hAnsi="Calibri"/>
          <w:b w:val="0"/>
          <w:bCs w:val="0"/>
          <w:i w:val="0"/>
          <w:iCs w:val="0"/>
          <w:color w:val="1b3a2f"/>
          <w:sz w:val="22"/>
          <w:szCs w:val="22"/>
          <w:rtl w:val="0"/>
        </w:rPr>
        <w:t xml:space="preserve">People may fund purpose. They may not own the association. “We don’t want a big return” does not make membership an investment contract.</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2520"/>
        <w:gridCol w:w="2880"/>
        <w:gridCol w:w="2700"/>
        <w:tblGridChange w:id="0">
          <w:tblGrid>
            <w:gridCol w:w="1980"/>
            <w:gridCol w:w="2520"/>
            <w:gridCol w:w="2880"/>
            <w:gridCol w:w="2700"/>
          </w:tblGrid>
        </w:tblGridChange>
      </w:tblGrid>
      <w:tr>
        <w:trPr>
          <w:cantSplit w:val="0"/>
          <w:tblHeader w:val="1"/>
        </w:trPr>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42">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Door</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43">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Instrument</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44">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They receive</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45">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They never receive</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46">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Gift</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47">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Gift agreement to the UNA</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48">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Acknowledgment and the public node card</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49">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Equity, extra votes, certs</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4A">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Sponsor</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4B">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Sponsor-class membership</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4C">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One member, one vote; updates</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4D">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A dividend</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4E">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Recoverable grant</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4F">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Written note, 0% or below-market</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50">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Capital back on schedule, no upside</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51">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A slice of software</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52">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Operator subscription</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53">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LLC membership interest</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54">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Economics of the hosted oracle</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55">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UNA control, Examiner veto, automatic PMCP</w:t>
            </w:r>
            <w:r w:rsidDel="00000000" w:rsidR="00000000" w:rsidRPr="00000000">
              <w:rPr>
                <w:rtl w:val="0"/>
              </w:rPr>
            </w:r>
          </w:p>
        </w:tc>
      </w:tr>
    </w:tbl>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spacing w:after="160" w:before="0" w:line="276" w:lineRule="auto"/>
        <w:rPr/>
      </w:pPr>
      <w:r w:rsidDel="00000000" w:rsidR="00000000" w:rsidRPr="00000000">
        <w:rPr>
          <w:rFonts w:ascii="Calibri" w:cs="Calibri" w:eastAsia="Calibri" w:hAnsi="Calibri"/>
          <w:b w:val="0"/>
          <w:bCs w:val="0"/>
          <w:i w:val="0"/>
          <w:iCs w:val="0"/>
          <w:color w:val="1b3a2f"/>
          <w:sz w:val="22"/>
          <w:szCs w:val="22"/>
          <w:rtl w:val="0"/>
        </w:rPr>
        <w:t xml:space="preserve">Greenhouse stake is a fifth rail only inside a node project: living dividend of produce, access, or service — not interest. Credits are not dollars. Cash-out stays capped and counsel-reviewed.</w:t>
      </w:r>
      <w:r w:rsidDel="00000000" w:rsidR="00000000" w:rsidRPr="00000000">
        <w:rPr>
          <w:rtl w:val="0"/>
        </w:rPr>
      </w:r>
    </w:p>
    <w:p w:rsidR="00000000" w:rsidDel="00000000" w:rsidP="00000000" w:rsidRDefault="00000000" w:rsidRPr="00000000" w14:paraId="00000058">
      <w:pPr>
        <w:spacing w:after="160" w:before="0" w:line="276" w:lineRule="auto"/>
        <w:rPr/>
      </w:pPr>
      <w:r w:rsidDel="00000000" w:rsidR="00000000" w:rsidRPr="00000000">
        <w:rPr>
          <w:rFonts w:ascii="Calibri" w:cs="Calibri" w:eastAsia="Calibri" w:hAnsi="Calibri"/>
          <w:b w:val="0"/>
          <w:bCs w:val="0"/>
          <w:i w:val="0"/>
          <w:iCs w:val="0"/>
          <w:color w:val="1b3a2f"/>
          <w:sz w:val="22"/>
          <w:szCs w:val="22"/>
          <w:rtl w:val="0"/>
        </w:rPr>
        <w:t xml:space="preserve">Operator remittance of a published share of surplus is how the shop pays the garden. Label the wire remittance.</w:t>
      </w:r>
      <w:r w:rsidDel="00000000" w:rsidR="00000000" w:rsidRPr="00000000">
        <w:rPr>
          <w:rtl w:val="0"/>
        </w:rPr>
      </w:r>
    </w:p>
    <w:p w:rsidR="00000000" w:rsidDel="00000000" w:rsidP="00000000" w:rsidRDefault="00000000" w:rsidRPr="00000000" w14:paraId="00000059">
      <w:pPr>
        <w:pStyle w:val="Heading1"/>
        <w:pBdr>
          <w:bottom w:color="2f6f5e" w:space="4" w:sz="12" w:val="single"/>
        </w:pBdr>
        <w:spacing w:after="160" w:before="360" w:lineRule="auto"/>
        <w:rPr/>
      </w:pPr>
      <w:r w:rsidDel="00000000" w:rsidR="00000000" w:rsidRPr="00000000">
        <w:rPr>
          <w:rFonts w:ascii="Calibri" w:cs="Calibri" w:eastAsia="Calibri" w:hAnsi="Calibri"/>
          <w:b w:val="1"/>
          <w:bCs w:val="1"/>
          <w:i w:val="0"/>
          <w:iCs w:val="0"/>
          <w:color w:val="2f6f5e"/>
          <w:sz w:val="28"/>
          <w:szCs w:val="28"/>
          <w:rtl w:val="0"/>
        </w:rPr>
        <w:t xml:space="preserve">7. Dual seat — practice and oracle</w:t>
      </w:r>
      <w:r w:rsidDel="00000000" w:rsidR="00000000" w:rsidRPr="00000000">
        <w:rPr>
          <w:rtl w:val="0"/>
        </w:rPr>
      </w:r>
    </w:p>
    <w:p w:rsidR="00000000" w:rsidDel="00000000" w:rsidP="00000000" w:rsidRDefault="00000000" w:rsidRPr="00000000" w14:paraId="0000005A">
      <w:pPr>
        <w:spacing w:after="160" w:before="0" w:line="276" w:lineRule="auto"/>
        <w:rPr/>
      </w:pPr>
      <w:r w:rsidDel="00000000" w:rsidR="00000000" w:rsidRPr="00000000">
        <w:rPr>
          <w:rFonts w:ascii="Calibri" w:cs="Calibri" w:eastAsia="Calibri" w:hAnsi="Calibri"/>
          <w:b w:val="0"/>
          <w:bCs w:val="0"/>
          <w:i w:val="0"/>
          <w:iCs w:val="0"/>
          <w:color w:val="1b3a2f"/>
          <w:sz w:val="22"/>
          <w:szCs w:val="22"/>
          <w:rtl w:val="0"/>
        </w:rPr>
        <w:t xml:space="preserve">Lined-up counterparties who want to practice and to own the hosted oracle take two seats. Two papers. One firewall.</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880"/>
        <w:gridCol w:w="4680"/>
        <w:tblGridChange w:id="0">
          <w:tblGrid>
            <w:gridCol w:w="2520"/>
            <w:gridCol w:w="2880"/>
            <w:gridCol w:w="4680"/>
          </w:tblGrid>
        </w:tblGridChange>
      </w:tblGrid>
      <w:tr>
        <w:trPr>
          <w:cantSplit w:val="0"/>
          <w:tblHeader w:val="1"/>
        </w:trPr>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5B">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Seat</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5C">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Paper</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5D">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How they get it</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5E">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PMCP practitioner</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5F">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PMCP agreement</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60">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Same four gates: mastery interview, vertical playbook, compliance clearance, supervised engagement</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61">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Oracle owner</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62">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Operator subscription / OA</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63">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Capital for membership interest in the managed-service company</w:t>
            </w:r>
            <w:r w:rsidDel="00000000" w:rsidR="00000000" w:rsidRPr="00000000">
              <w:rPr>
                <w:rtl w:val="0"/>
              </w:rPr>
            </w:r>
          </w:p>
        </w:tc>
      </w:tr>
    </w:tbl>
    <w:p w:rsidR="00000000" w:rsidDel="00000000" w:rsidP="00000000" w:rsidRDefault="00000000" w:rsidRPr="00000000" w14:paraId="00000064">
      <w:pPr>
        <w:spacing w:after="120" w:lineRule="auto"/>
        <w:rPr/>
      </w:pPr>
      <w:r w:rsidDel="00000000" w:rsidR="00000000" w:rsidRPr="00000000">
        <w:rPr>
          <w:rtl w:val="0"/>
        </w:rPr>
      </w:r>
    </w:p>
    <w:p w:rsidR="00000000" w:rsidDel="00000000" w:rsidP="00000000" w:rsidRDefault="00000000" w:rsidRPr="00000000" w14:paraId="00000065">
      <w:pPr>
        <w:pStyle w:val="Heading2"/>
        <w:spacing w:after="80" w:before="240" w:lineRule="auto"/>
        <w:rPr/>
      </w:pPr>
      <w:r w:rsidDel="00000000" w:rsidR="00000000" w:rsidRPr="00000000">
        <w:rPr>
          <w:rFonts w:ascii="Calibri" w:cs="Calibri" w:eastAsia="Calibri" w:hAnsi="Calibri"/>
          <w:b w:val="1"/>
          <w:bCs w:val="1"/>
          <w:i w:val="0"/>
          <w:iCs w:val="0"/>
          <w:color w:val="1b3a2f"/>
          <w:sz w:val="24"/>
          <w:szCs w:val="24"/>
          <w:rtl w:val="0"/>
        </w:rPr>
        <w:t xml:space="preserve">Firewall</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Equity close does not issue PMCP. Automatic-cert-on-signing in the Director term sheet is a defect. Strike it.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PMCP failure does not unwind equity. Revocation does not confiscate shares. Using the mark after revocation is a separate breach.</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Anyone at or above 10% of the operator, or holding a board seat, cannot sit as Examiner on any candidate, including themselves.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Calibration data is not collateral and not an LLC asset to pledge.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Operator board may fund Examiner / Guardian. It may not instruct a pass.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Citizen Gardens keeps a written license to the hosted tools. Owners cannot pull playground access without notice and a grace period.</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First-cohort extras that survive: locked revenue-share rate on work they personally deliver; playbook co-authorship; advisory on methodology.</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First-cohort extras that die: automatic cert; no recertification review; exclusive lock on a vertical purchased with equity.</w:t>
      </w:r>
      <w:r w:rsidDel="00000000" w:rsidR="00000000" w:rsidRPr="00000000">
        <w:rPr>
          <w:rtl w:val="0"/>
        </w:rPr>
      </w:r>
    </w:p>
    <w:p w:rsidR="00000000" w:rsidDel="00000000" w:rsidP="00000000" w:rsidRDefault="00000000" w:rsidRPr="00000000" w14:paraId="0000006E">
      <w:pPr>
        <w:spacing w:after="160" w:before="0" w:line="276" w:lineRule="auto"/>
        <w:rPr/>
      </w:pPr>
      <w:r w:rsidDel="00000000" w:rsidR="00000000" w:rsidRPr="00000000">
        <w:rPr>
          <w:rFonts w:ascii="Calibri" w:cs="Calibri" w:eastAsia="Calibri" w:hAnsi="Calibri"/>
          <w:b w:val="0"/>
          <w:bCs w:val="0"/>
          <w:i w:val="0"/>
          <w:iCs w:val="0"/>
          <w:color w:val="1b3a2f"/>
          <w:sz w:val="22"/>
          <w:szCs w:val="22"/>
          <w:rtl w:val="0"/>
        </w:rPr>
        <w:t xml:space="preserve">Yield lives only on the shop side: seats, packs, exam fees, and revenue share on delivered branded work. A certificate does not mint. A certificate attests.</w:t>
      </w:r>
      <w:r w:rsidDel="00000000" w:rsidR="00000000" w:rsidRPr="00000000">
        <w:rPr>
          <w:rtl w:val="0"/>
        </w:rPr>
      </w:r>
    </w:p>
    <w:p w:rsidR="00000000" w:rsidDel="00000000" w:rsidP="00000000" w:rsidRDefault="00000000" w:rsidRPr="00000000" w14:paraId="0000006F">
      <w:pPr>
        <w:pStyle w:val="Heading1"/>
        <w:pBdr>
          <w:bottom w:color="2f6f5e" w:space="4" w:sz="12" w:val="single"/>
        </w:pBdr>
        <w:spacing w:after="160" w:before="360" w:lineRule="auto"/>
        <w:rPr/>
      </w:pPr>
      <w:r w:rsidDel="00000000" w:rsidR="00000000" w:rsidRPr="00000000">
        <w:rPr>
          <w:rFonts w:ascii="Calibri" w:cs="Calibri" w:eastAsia="Calibri" w:hAnsi="Calibri"/>
          <w:b w:val="1"/>
          <w:bCs w:val="1"/>
          <w:i w:val="0"/>
          <w:iCs w:val="0"/>
          <w:color w:val="2f6f5e"/>
          <w:sz w:val="28"/>
          <w:szCs w:val="28"/>
          <w:rtl w:val="0"/>
        </w:rPr>
        <w:t xml:space="preserve">8. Surplus pointed at purpose</w:t>
      </w:r>
      <w:r w:rsidDel="00000000" w:rsidR="00000000" w:rsidRPr="00000000">
        <w:rPr>
          <w:rtl w:val="0"/>
        </w:rPr>
      </w:r>
    </w:p>
    <w:p w:rsidR="00000000" w:rsidDel="00000000" w:rsidP="00000000" w:rsidRDefault="00000000" w:rsidRPr="00000000" w14:paraId="00000070">
      <w:pPr>
        <w:spacing w:after="160" w:before="0" w:line="276" w:lineRule="auto"/>
        <w:rPr/>
      </w:pPr>
      <w:r w:rsidDel="00000000" w:rsidR="00000000" w:rsidRPr="00000000">
        <w:rPr>
          <w:rFonts w:ascii="Calibri" w:cs="Calibri" w:eastAsia="Calibri" w:hAnsi="Calibri"/>
          <w:b w:val="0"/>
          <w:bCs w:val="0"/>
          <w:i w:val="0"/>
          <w:iCs w:val="0"/>
          <w:color w:val="1b3a2f"/>
          <w:sz w:val="22"/>
          <w:szCs w:val="22"/>
          <w:rtl w:val="0"/>
        </w:rPr>
        <w:t xml:space="preserve">Surplus is what remains after reasonable compensation and named reserves. Members have no residual claim on it. Paychecks, tools, equipment, and sites are costs when they pass four tests: purpose, reasonableness, title in the association, written authority.</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3960"/>
        <w:gridCol w:w="3960"/>
        <w:tblGridChange w:id="0">
          <w:tblGrid>
            <w:gridCol w:w="2160"/>
            <w:gridCol w:w="3960"/>
            <w:gridCol w:w="3960"/>
          </w:tblGrid>
        </w:tblGridChange>
      </w:tblGrid>
      <w:tr>
        <w:trPr>
          <w:cantSplit w:val="0"/>
          <w:tblHeader w:val="1"/>
        </w:trPr>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71">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Item</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72">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Allowed as</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73">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Fails when</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74">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Staff</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75">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Wages for work, W-2 or 1099, role card</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76">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Profit share, bonus tied to leftover cash, payee approving their own deal</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77">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Tools / equipment</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78">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Kit-of-parts; association title; node-card line</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79">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Personal take-home; founder sale above a stranger’s price</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7A">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Satellite site</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7B">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Node or named back-office with public hours</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7C">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Residence subsidy; prestige address with no metric card</w:t>
            </w:r>
            <w:r w:rsidDel="00000000" w:rsidR="00000000" w:rsidRPr="00000000">
              <w:rPr>
                <w:rtl w:val="0"/>
              </w:rPr>
            </w:r>
          </w:p>
        </w:tc>
      </w:tr>
    </w:tbl>
    <w:p w:rsidR="00000000" w:rsidDel="00000000" w:rsidP="00000000" w:rsidRDefault="00000000" w:rsidRPr="00000000" w14:paraId="0000007D">
      <w:pPr>
        <w:pStyle w:val="Heading1"/>
        <w:pBdr>
          <w:bottom w:color="2f6f5e" w:space="4" w:sz="12" w:val="single"/>
        </w:pBdr>
        <w:spacing w:after="160" w:before="360" w:lineRule="auto"/>
        <w:rPr/>
      </w:pPr>
      <w:r w:rsidDel="00000000" w:rsidR="00000000" w:rsidRPr="00000000">
        <w:rPr>
          <w:rFonts w:ascii="Calibri" w:cs="Calibri" w:eastAsia="Calibri" w:hAnsi="Calibri"/>
          <w:b w:val="1"/>
          <w:bCs w:val="1"/>
          <w:i w:val="0"/>
          <w:iCs w:val="0"/>
          <w:color w:val="2f6f5e"/>
          <w:sz w:val="28"/>
          <w:szCs w:val="28"/>
          <w:rtl w:val="0"/>
        </w:rPr>
        <w:t xml:space="preserve">9. Who decides a role or a purchase</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880"/>
        <w:gridCol w:w="2520"/>
        <w:gridCol w:w="2160"/>
        <w:tblGridChange w:id="0">
          <w:tblGrid>
            <w:gridCol w:w="2520"/>
            <w:gridCol w:w="2880"/>
            <w:gridCol w:w="2520"/>
            <w:gridCol w:w="2160"/>
          </w:tblGrid>
        </w:tblGridChange>
      </w:tblGrid>
      <w:tr>
        <w:trPr>
          <w:cantSplit w:val="0"/>
          <w:tblHeader w:val="1"/>
        </w:trPr>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7E">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Decision</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7F">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Who says yes</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80">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Funding</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81">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Cap</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82">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Role inside an existing node</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83">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Node by consent; admin L0 check only</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84">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That node’s envelope</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85">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Envelope must cover 90 days</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86">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New department / new place</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87">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Members under §7; named sponsor + 90-day metric</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88">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New envelope first</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89">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No hire before the envelope</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8A">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Commons role (records, treasury, ICT)</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8B">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Admins propose; assembly confirms if ongoing</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8C">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Commons line</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8D">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Overhead target ≤15%</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8E">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Equipment ≤ $2,500 in envelope</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8F">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Node</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90">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Node envelope</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91">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Title to Citizen Gardens</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92">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Any movement &gt; $2,500</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93">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Treasurer + one other admin</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94">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Named envelope or named grant</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95">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Dual control</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96">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Material asset</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97">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Members, majority after 14-day notice</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98">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Commons or restricted gift</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99">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Vehicle, lease &gt;12 mo, land, or ≥ $5,000 proposed</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9A">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Related-party deal</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9B">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Same as above + non-payee countersignature</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9C">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Same</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9D">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Payee does not approve</w:t>
            </w:r>
            <w:r w:rsidDel="00000000" w:rsidR="00000000" w:rsidRPr="00000000">
              <w:rPr>
                <w:rtl w:val="0"/>
              </w:rPr>
            </w:r>
          </w:p>
        </w:tc>
      </w:tr>
    </w:tbl>
    <w:p w:rsidR="00000000" w:rsidDel="00000000" w:rsidP="00000000" w:rsidRDefault="00000000" w:rsidRPr="00000000" w14:paraId="0000009E">
      <w:pPr>
        <w:spacing w:after="120" w:lineRule="auto"/>
        <w:rPr/>
      </w:pPr>
      <w:r w:rsidDel="00000000" w:rsidR="00000000" w:rsidRPr="00000000">
        <w:rPr>
          <w:rtl w:val="0"/>
        </w:rPr>
      </w:r>
    </w:p>
    <w:p w:rsidR="00000000" w:rsidDel="00000000" w:rsidP="00000000" w:rsidRDefault="00000000" w:rsidRPr="00000000" w14:paraId="0000009F">
      <w:pPr>
        <w:spacing w:after="160" w:before="0" w:line="276" w:lineRule="auto"/>
        <w:rPr/>
      </w:pPr>
      <w:r w:rsidDel="00000000" w:rsidR="00000000" w:rsidRPr="00000000">
        <w:rPr>
          <w:rFonts w:ascii="Calibri" w:cs="Calibri" w:eastAsia="Calibri" w:hAnsi="Calibri"/>
          <w:b w:val="0"/>
          <w:bCs w:val="0"/>
          <w:i w:val="0"/>
          <w:iCs w:val="0"/>
          <w:color w:val="1b3a2f"/>
          <w:sz w:val="22"/>
          <w:szCs w:val="22"/>
          <w:rtl w:val="0"/>
        </w:rPr>
        <w:t xml:space="preserve">Until first assembly, signers of the principles are administrators. Their written authority: EIN, agent, register, counsel, contracts under $2,500.</w:t>
      </w:r>
      <w:r w:rsidDel="00000000" w:rsidR="00000000" w:rsidRPr="00000000">
        <w:rPr>
          <w:rtl w:val="0"/>
        </w:rPr>
      </w:r>
    </w:p>
    <w:p w:rsidR="00000000" w:rsidDel="00000000" w:rsidP="00000000" w:rsidRDefault="00000000" w:rsidRPr="00000000" w14:paraId="000000A0">
      <w:pPr>
        <w:spacing w:after="160" w:before="0" w:line="276" w:lineRule="auto"/>
        <w:rPr/>
      </w:pPr>
      <w:r w:rsidDel="00000000" w:rsidR="00000000" w:rsidRPr="00000000">
        <w:rPr>
          <w:rFonts w:ascii="Calibri" w:cs="Calibri" w:eastAsia="Calibri" w:hAnsi="Calibri"/>
          <w:b w:val="0"/>
          <w:bCs w:val="0"/>
          <w:i w:val="0"/>
          <w:iCs w:val="0"/>
          <w:color w:val="1b3a2f"/>
          <w:sz w:val="22"/>
          <w:szCs w:val="22"/>
          <w:rtl w:val="0"/>
        </w:rPr>
        <w:t xml:space="preserve">Three-way test pauses a node after two failed quarters: member dignity, community outcome, solvency. Pause is a kill-switch, not a punishment.</w:t>
      </w:r>
      <w:r w:rsidDel="00000000" w:rsidR="00000000" w:rsidRPr="00000000">
        <w:rPr>
          <w:rtl w:val="0"/>
        </w:rPr>
      </w:r>
    </w:p>
    <w:p w:rsidR="00000000" w:rsidDel="00000000" w:rsidP="00000000" w:rsidRDefault="00000000" w:rsidRPr="00000000" w14:paraId="000000A1">
      <w:pPr>
        <w:spacing w:after="160" w:before="0" w:line="276" w:lineRule="auto"/>
        <w:rPr/>
      </w:pPr>
      <w:r w:rsidDel="00000000" w:rsidR="00000000" w:rsidRPr="00000000">
        <w:rPr>
          <w:rFonts w:ascii="Calibri" w:cs="Calibri" w:eastAsia="Calibri" w:hAnsi="Calibri"/>
          <w:b w:val="0"/>
          <w:bCs w:val="0"/>
          <w:i w:val="0"/>
          <w:iCs w:val="0"/>
          <w:color w:val="1b3a2f"/>
          <w:sz w:val="22"/>
          <w:szCs w:val="22"/>
          <w:rtl w:val="0"/>
        </w:rPr>
        <w:t xml:space="preserve">Recommended material-asset floor to bind in v1.2: $5,000, any vehicle, any lease longer than 12 months, any interest in land.</w:t>
      </w:r>
      <w:r w:rsidDel="00000000" w:rsidR="00000000" w:rsidRPr="00000000">
        <w:rPr>
          <w:rtl w:val="0"/>
        </w:rPr>
      </w:r>
    </w:p>
    <w:p w:rsidR="00000000" w:rsidDel="00000000" w:rsidP="00000000" w:rsidRDefault="00000000" w:rsidRPr="00000000" w14:paraId="000000A2">
      <w:pPr>
        <w:pStyle w:val="Heading1"/>
        <w:pBdr>
          <w:bottom w:color="2f6f5e" w:space="4" w:sz="12" w:val="single"/>
        </w:pBdr>
        <w:spacing w:after="160" w:before="360" w:lineRule="auto"/>
        <w:rPr/>
      </w:pPr>
      <w:r w:rsidDel="00000000" w:rsidR="00000000" w:rsidRPr="00000000">
        <w:rPr>
          <w:rFonts w:ascii="Calibri" w:cs="Calibri" w:eastAsia="Calibri" w:hAnsi="Calibri"/>
          <w:b w:val="1"/>
          <w:bCs w:val="1"/>
          <w:i w:val="0"/>
          <w:iCs w:val="0"/>
          <w:color w:val="2f6f5e"/>
          <w:sz w:val="28"/>
          <w:szCs w:val="28"/>
          <w:rtl w:val="0"/>
        </w:rPr>
        <w:t xml:space="preserve">10. The playground</w:t>
      </w:r>
      <w:r w:rsidDel="00000000" w:rsidR="00000000" w:rsidRPr="00000000">
        <w:rPr>
          <w:rtl w:val="0"/>
        </w:rPr>
      </w:r>
    </w:p>
    <w:p w:rsidR="00000000" w:rsidDel="00000000" w:rsidP="00000000" w:rsidRDefault="00000000" w:rsidRPr="00000000" w14:paraId="000000A3">
      <w:pPr>
        <w:spacing w:after="160" w:before="0" w:line="276" w:lineRule="auto"/>
        <w:rPr/>
      </w:pPr>
      <w:r w:rsidDel="00000000" w:rsidR="00000000" w:rsidRPr="00000000">
        <w:rPr>
          <w:rFonts w:ascii="Calibri" w:cs="Calibri" w:eastAsia="Calibri" w:hAnsi="Calibri"/>
          <w:b w:val="0"/>
          <w:bCs w:val="0"/>
          <w:i w:val="0"/>
          <w:iCs w:val="0"/>
          <w:color w:val="1b3a2f"/>
          <w:sz w:val="22"/>
          <w:szCs w:val="22"/>
          <w:rtl w:val="0"/>
        </w:rPr>
        <w:t xml:space="preserve">Civic R&amp;D is a Sovereignty Node, not a slogan.</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≤12 operators. Named sponsor. Dissonance register. Public 90-day metric card.</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Envelope in the UNA treasury. Software via license from the operator, same as any node.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Anyone who wants PMCP stands in the same cohort line. Admission is not a cert package.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Calibration work in the playground may earn Opportunity or Ingenuity credits. Those credits do not cash out as investor yield.</w:t>
      </w:r>
      <w:r w:rsidDel="00000000" w:rsidR="00000000" w:rsidRPr="00000000">
        <w:rPr>
          <w:rtl w:val="0"/>
        </w:rPr>
      </w:r>
    </w:p>
    <w:p w:rsidR="00000000" w:rsidDel="00000000" w:rsidP="00000000" w:rsidRDefault="00000000" w:rsidRPr="00000000" w14:paraId="000000A8">
      <w:pPr>
        <w:pStyle w:val="Heading2"/>
        <w:spacing w:after="80" w:before="240" w:lineRule="auto"/>
        <w:rPr/>
      </w:pPr>
      <w:r w:rsidDel="00000000" w:rsidR="00000000" w:rsidRPr="00000000">
        <w:rPr>
          <w:rFonts w:ascii="Calibri" w:cs="Calibri" w:eastAsia="Calibri" w:hAnsi="Calibri"/>
          <w:b w:val="1"/>
          <w:bCs w:val="1"/>
          <w:i w:val="0"/>
          <w:iCs w:val="0"/>
          <w:color w:val="1b3a2f"/>
          <w:sz w:val="24"/>
          <w:szCs w:val="24"/>
          <w:rtl w:val="0"/>
        </w:rPr>
        <w:t xml:space="preserve">Sister nodes already in the mission</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Sovereign Urban Gardens — kit-of-parts, camera-free zones, ≥300 households per mature node-year.</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Criminal Justice pathway — rapid reentry, diversion micro-courts, inside-out learning. Service, not a stigma class.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Literary charity — keep Multiplicity as practice, not brand fog.</w:t>
      </w:r>
      <w:r w:rsidDel="00000000" w:rsidR="00000000" w:rsidRPr="00000000">
        <w:rPr>
          <w:rtl w:val="0"/>
        </w:rPr>
      </w:r>
    </w:p>
    <w:p w:rsidR="00000000" w:rsidDel="00000000" w:rsidP="00000000" w:rsidRDefault="00000000" w:rsidRPr="00000000" w14:paraId="000000AC">
      <w:pPr>
        <w:spacing w:after="160" w:before="0" w:line="276" w:lineRule="auto"/>
        <w:rPr/>
      </w:pPr>
      <w:r w:rsidDel="00000000" w:rsidR="00000000" w:rsidRPr="00000000">
        <w:rPr>
          <w:rFonts w:ascii="Calibri" w:cs="Calibri" w:eastAsia="Calibri" w:hAnsi="Calibri"/>
          <w:b w:val="0"/>
          <w:bCs w:val="0"/>
          <w:i w:val="0"/>
          <w:iCs w:val="0"/>
          <w:color w:val="1b3a2f"/>
          <w:sz w:val="22"/>
          <w:szCs w:val="22"/>
          <w:rtl w:val="0"/>
        </w:rPr>
        <w:t xml:space="preserve">New departments require member approval, a node sponsor, a dissonance register, and a 90-day metric before they exist.</w:t>
      </w:r>
      <w:r w:rsidDel="00000000" w:rsidR="00000000" w:rsidRPr="00000000">
        <w:rPr>
          <w:rtl w:val="0"/>
        </w:rPr>
      </w:r>
    </w:p>
    <w:p w:rsidR="00000000" w:rsidDel="00000000" w:rsidP="00000000" w:rsidRDefault="00000000" w:rsidRPr="00000000" w14:paraId="000000AD">
      <w:pPr>
        <w:pStyle w:val="Heading1"/>
        <w:pBdr>
          <w:bottom w:color="2f6f5e" w:space="4" w:sz="12" w:val="single"/>
        </w:pBdr>
        <w:spacing w:after="160" w:before="360" w:lineRule="auto"/>
        <w:rPr/>
      </w:pPr>
      <w:r w:rsidDel="00000000" w:rsidR="00000000" w:rsidRPr="00000000">
        <w:rPr>
          <w:rFonts w:ascii="Calibri" w:cs="Calibri" w:eastAsia="Calibri" w:hAnsi="Calibri"/>
          <w:b w:val="1"/>
          <w:bCs w:val="1"/>
          <w:i w:val="0"/>
          <w:iCs w:val="0"/>
          <w:color w:val="2f6f5e"/>
          <w:sz w:val="28"/>
          <w:szCs w:val="28"/>
          <w:rtl w:val="0"/>
        </w:rPr>
        <w:t xml:space="preserve">11. L0 invariants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No member profit distribution.</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No node cameras in a declared privacy zone.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No membership list used off-purpose.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No administrator binds the association beyond written authority.</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No third party offers Phase Mirror as a managed service without a commercial license.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Youth membership requires confirmed guardian consent.</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Consent is withdrawable. Withdrawal is logged, not argued.</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Credits do not buy votes. Tokens do not overweight votes.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sidDel="00000000" w:rsidR="00000000" w:rsidRPr="00000000">
        <w:rPr>
          <w:rFonts w:ascii="Calibri" w:cs="Calibri" w:eastAsia="Calibri" w:hAnsi="Calibri"/>
          <w:b w:val="0"/>
          <w:bCs w:val="0"/>
          <w:i w:val="0"/>
          <w:iCs w:val="0"/>
          <w:smallCaps w:val="0"/>
          <w:strike w:val="0"/>
          <w:color w:val="1b3a2f"/>
          <w:sz w:val="21"/>
          <w:szCs w:val="21"/>
          <w:u w:val="none"/>
          <w:shd w:fill="auto" w:val="clear"/>
          <w:vertAlign w:val="baseline"/>
          <w:rtl w:val="0"/>
        </w:rPr>
        <w:t xml:space="preserve">The association is not a PAC.</w:t>
      </w:r>
      <w:r w:rsidDel="00000000" w:rsidR="00000000" w:rsidRPr="00000000">
        <w:rPr>
          <w:rtl w:val="0"/>
        </w:rPr>
      </w:r>
    </w:p>
    <w:p w:rsidR="00000000" w:rsidDel="00000000" w:rsidP="00000000" w:rsidRDefault="00000000" w:rsidRPr="00000000" w14:paraId="000000B7">
      <w:pPr>
        <w:pStyle w:val="Heading1"/>
        <w:pBdr>
          <w:bottom w:color="2f6f5e" w:space="4" w:sz="12" w:val="single"/>
        </w:pBdr>
        <w:spacing w:after="160" w:before="360" w:lineRule="auto"/>
        <w:rPr/>
      </w:pPr>
      <w:r w:rsidDel="00000000" w:rsidR="00000000" w:rsidRPr="00000000">
        <w:rPr>
          <w:rFonts w:ascii="Calibri" w:cs="Calibri" w:eastAsia="Calibri" w:hAnsi="Calibri"/>
          <w:b w:val="1"/>
          <w:bCs w:val="1"/>
          <w:i w:val="0"/>
          <w:iCs w:val="0"/>
          <w:color w:val="2f6f5e"/>
          <w:sz w:val="28"/>
          <w:szCs w:val="28"/>
          <w:rtl w:val="0"/>
        </w:rPr>
        <w:t xml:space="preserve">12. Ninety-day sequence</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1800"/>
        <w:gridCol w:w="3780"/>
        <w:gridCol w:w="2880"/>
        <w:tblGridChange w:id="0">
          <w:tblGrid>
            <w:gridCol w:w="1620"/>
            <w:gridCol w:w="1800"/>
            <w:gridCol w:w="3780"/>
            <w:gridCol w:w="2880"/>
          </w:tblGrid>
        </w:tblGridChange>
      </w:tblGrid>
      <w:tr>
        <w:trPr>
          <w:cantSplit w:val="0"/>
          <w:tblHeader w:val="1"/>
        </w:trPr>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B8">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Horizon</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B9">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Owner</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BA">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Lever</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BB">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Done when</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BC">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Day 0–7</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BD">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Founder / counsel</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BE">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Confirm current W.S. 17-22 / 17-32 text; strike auto-PMCP</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BF">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Memo + redlined director pattern</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C0">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Day 0–14</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C1">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Two founders</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C2">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Sign Governing Principles v1.1</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C3">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Dated signature page</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4">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Day 7–21</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5">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Admin</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6">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EIN, agent statement, dual-control treasury</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7">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Letters on file</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C8">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Day 14–30</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C9">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Records</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CA">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Register live; legal page; mark in use</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CB">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Public count + specimen</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C">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Day 14–30</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D">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Each funder</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E">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One door per person, on paper</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F">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No unlabeled wires</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D0">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Day 21–45</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D1">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Node sponsor</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D2">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Civic R&amp;D node card v1</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D3">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Card public</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D4">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Day 21–45</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D5">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Counsel</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D6">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Operator LLC + OA + PMCP firewall copied in all three</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D7">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Execution copies</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D8">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Day 30–60</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D9">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Examiner</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DA">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Publish ≥10% / board-seat conflict rule</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DB">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Posted protocol</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DC">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Day 30–60</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DD">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Operator</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DE">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First remittance line to UNA</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DF">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Labeled wire</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E0">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Day 45–75</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E1">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Membership</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E2">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Grow the register without buying the floor</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E3">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Weekly public count</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4">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Day 60–90</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5">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Admins</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6">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First assembly; Phase Mirror diagnostic on the association</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7">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Minutes + dissonance report</w:t>
            </w:r>
            <w:r w:rsidDel="00000000" w:rsidR="00000000" w:rsidRPr="00000000">
              <w:rPr>
                <w:rtl w:val="0"/>
              </w:rPr>
            </w:r>
          </w:p>
        </w:tc>
      </w:tr>
    </w:tbl>
    <w:p w:rsidR="00000000" w:rsidDel="00000000" w:rsidP="00000000" w:rsidRDefault="00000000" w:rsidRPr="00000000" w14:paraId="000000E8">
      <w:pPr>
        <w:pStyle w:val="Heading1"/>
        <w:pBdr>
          <w:bottom w:color="2f6f5e" w:space="4" w:sz="12" w:val="single"/>
        </w:pBdr>
        <w:spacing w:after="160" w:before="360" w:lineRule="auto"/>
        <w:rPr/>
      </w:pPr>
      <w:r w:rsidDel="00000000" w:rsidR="00000000" w:rsidRPr="00000000">
        <w:rPr>
          <w:rFonts w:ascii="Calibri" w:cs="Calibri" w:eastAsia="Calibri" w:hAnsi="Calibri"/>
          <w:b w:val="1"/>
          <w:bCs w:val="1"/>
          <w:i w:val="0"/>
          <w:iCs w:val="0"/>
          <w:color w:val="2f6f5e"/>
          <w:sz w:val="28"/>
          <w:szCs w:val="28"/>
          <w:rtl w:val="0"/>
        </w:rPr>
        <w:t xml:space="preserve">13. Named tensions — permanent</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480"/>
        <w:tblGridChange w:id="0">
          <w:tblGrid>
            <w:gridCol w:w="3600"/>
            <w:gridCol w:w="6480"/>
          </w:tblGrid>
        </w:tblGridChange>
      </w:tblGrid>
      <w:tr>
        <w:trPr>
          <w:cantSplit w:val="0"/>
          <w:tblHeader w:val="1"/>
        </w:trPr>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E9">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Tension</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2f6f5e" w:val="clear"/>
            <w:tcMar>
              <w:top w:w="60.0" w:type="dxa"/>
              <w:left w:w="80.0" w:type="dxa"/>
              <w:bottom w:w="60.0" w:type="dxa"/>
              <w:right w:w="80.0" w:type="dxa"/>
            </w:tcMar>
            <w:vAlign w:val="center"/>
          </w:tcPr>
          <w:p w:rsidR="00000000" w:rsidDel="00000000" w:rsidP="00000000" w:rsidRDefault="00000000" w:rsidRPr="00000000" w14:paraId="000000EA">
            <w:pPr>
              <w:spacing w:after="0" w:line="240" w:lineRule="auto"/>
              <w:rPr/>
            </w:pPr>
            <w:r w:rsidDel="00000000" w:rsidR="00000000" w:rsidRPr="00000000">
              <w:rPr>
                <w:rFonts w:ascii="Calibri" w:cs="Calibri" w:eastAsia="Calibri" w:hAnsi="Calibri"/>
                <w:b w:val="1"/>
                <w:bCs w:val="1"/>
                <w:i w:val="0"/>
                <w:iCs w:val="0"/>
                <w:color w:val="ffffff"/>
                <w:sz w:val="18"/>
                <w:szCs w:val="18"/>
                <w:rtl w:val="0"/>
              </w:rPr>
              <w:t xml:space="preserve">Binding</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B">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Node autonomy vs L0</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C">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Nodes own operations. L0 is non-negotiable. Coaches have no command.</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ED">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UNA nonprofit vs SaaS revenue</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EE">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Separate operator + published remittance.</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F">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100-member floor vs early team</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F0">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UNA now. Publish the count. Do not claim DUNA.</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F1">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Funder yield vs credential integrity</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F2">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Two seats. Certs attest. Certs do not mint.</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F3">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Credits that feel like money</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F4">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Caps. Counsel before first cash-out. Living dividends, not interest.</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F5">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Open core vs hosted oracle</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e8f0ec" w:val="clear"/>
            <w:tcMar>
              <w:top w:w="60.0" w:type="dxa"/>
              <w:left w:w="80.0" w:type="dxa"/>
              <w:bottom w:w="60.0" w:type="dxa"/>
              <w:right w:w="80.0" w:type="dxa"/>
            </w:tcMar>
            <w:vAlign w:val="center"/>
          </w:tcPr>
          <w:p w:rsidR="00000000" w:rsidDel="00000000" w:rsidP="00000000" w:rsidRDefault="00000000" w:rsidRPr="00000000" w14:paraId="000000F6">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Useful core. Managed service restricted and licensed.</w:t>
            </w:r>
            <w:r w:rsidDel="00000000" w:rsidR="00000000" w:rsidRPr="00000000">
              <w:rPr>
                <w:rtl w:val="0"/>
              </w:rPr>
            </w:r>
          </w:p>
        </w:tc>
      </w:tr>
      <w:tr>
        <w:trPr>
          <w:cantSplit w:val="0"/>
          <w:tblHeader w:val="0"/>
        </w:trPr>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F7">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Hope that funders will convert</w:t>
            </w:r>
            <w:r w:rsidDel="00000000" w:rsidR="00000000" w:rsidRPr="00000000">
              <w:rPr>
                <w:rtl w:val="0"/>
              </w:rPr>
            </w:r>
          </w:p>
        </w:tc>
        <w:tc>
          <w:tcPr>
            <w:tcBorders>
              <w:top w:color="c5d4cc" w:space="0" w:sz="4" w:val="single"/>
              <w:left w:color="c5d4cc" w:space="0" w:sz="4" w:val="single"/>
              <w:bottom w:color="c5d4cc" w:space="0" w:sz="4" w:val="single"/>
              <w:right w:color="c5d4c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F8">
            <w:pPr>
              <w:spacing w:after="0" w:line="240" w:lineRule="auto"/>
              <w:rPr/>
            </w:pPr>
            <w:r w:rsidDel="00000000" w:rsidR="00000000" w:rsidRPr="00000000">
              <w:rPr>
                <w:rFonts w:ascii="Calibri" w:cs="Calibri" w:eastAsia="Calibri" w:hAnsi="Calibri"/>
                <w:b w:val="0"/>
                <w:bCs w:val="0"/>
                <w:i w:val="0"/>
                <w:iCs w:val="0"/>
                <w:color w:val="1b3a2f"/>
                <w:sz w:val="18"/>
                <w:szCs w:val="18"/>
                <w:rtl w:val="0"/>
              </w:rPr>
              <w:t xml:space="preserve">Trigger, kill-switch, rollback. Gift does not become equity.</w:t>
            </w:r>
            <w:r w:rsidDel="00000000" w:rsidR="00000000" w:rsidRPr="00000000">
              <w:rPr>
                <w:rtl w:val="0"/>
              </w:rPr>
            </w:r>
          </w:p>
        </w:tc>
      </w:tr>
    </w:tbl>
    <w:p w:rsidR="00000000" w:rsidDel="00000000" w:rsidP="00000000" w:rsidRDefault="00000000" w:rsidRPr="00000000" w14:paraId="000000F9">
      <w:pPr>
        <w:pStyle w:val="Heading1"/>
        <w:pBdr>
          <w:bottom w:color="2f6f5e" w:space="4" w:sz="12" w:val="single"/>
        </w:pBdr>
        <w:spacing w:after="160" w:before="360" w:lineRule="auto"/>
        <w:rPr/>
      </w:pPr>
      <w:r w:rsidDel="00000000" w:rsidR="00000000" w:rsidRPr="00000000">
        <w:rPr>
          <w:rFonts w:ascii="Calibri" w:cs="Calibri" w:eastAsia="Calibri" w:hAnsi="Calibri"/>
          <w:b w:val="1"/>
          <w:bCs w:val="1"/>
          <w:i w:val="0"/>
          <w:iCs w:val="0"/>
          <w:color w:val="2f6f5e"/>
          <w:sz w:val="28"/>
          <w:szCs w:val="28"/>
          <w:rtl w:val="0"/>
        </w:rPr>
        <w:t xml:space="preserve">14. Optional artifact</w:t>
      </w:r>
      <w:r w:rsidDel="00000000" w:rsidR="00000000" w:rsidRPr="00000000">
        <w:rPr>
          <w:rtl w:val="0"/>
        </w:rPr>
      </w:r>
    </w:p>
    <w:p w:rsidR="00000000" w:rsidDel="00000000" w:rsidP="00000000" w:rsidRDefault="00000000" w:rsidRPr="00000000" w14:paraId="000000FA">
      <w:pPr>
        <w:spacing w:after="160" w:before="0" w:line="276" w:lineRule="auto"/>
        <w:rPr/>
      </w:pPr>
      <w:r w:rsidDel="00000000" w:rsidR="00000000" w:rsidRPr="00000000">
        <w:rPr>
          <w:rFonts w:ascii="Calibri" w:cs="Calibri" w:eastAsia="Calibri" w:hAnsi="Calibri"/>
          <w:b w:val="0"/>
          <w:bCs w:val="0"/>
          <w:i w:val="1"/>
          <w:iCs w:val="1"/>
          <w:color w:val="1b3a2f"/>
          <w:sz w:val="22"/>
          <w:szCs w:val="22"/>
          <w:rtl w:val="0"/>
        </w:rPr>
        <w:t xml:space="preserve">“Do not put the garden in the shop, then hope the shop becomes a garden. Do not mint a diploma when the wire clears.”</w:t>
      </w:r>
      <w:r w:rsidDel="00000000" w:rsidR="00000000" w:rsidRPr="00000000">
        <w:rPr>
          <w:rtl w:val="0"/>
        </w:rPr>
      </w:r>
    </w:p>
    <w:p w:rsidR="00000000" w:rsidDel="00000000" w:rsidP="00000000" w:rsidRDefault="00000000" w:rsidRPr="00000000" w14:paraId="000000FB">
      <w:pPr>
        <w:pStyle w:val="Heading1"/>
        <w:pBdr>
          <w:bottom w:color="2f6f5e" w:space="4" w:sz="12" w:val="single"/>
        </w:pBdr>
        <w:spacing w:after="160" w:before="360" w:lineRule="auto"/>
        <w:rPr/>
      </w:pPr>
      <w:r w:rsidDel="00000000" w:rsidR="00000000" w:rsidRPr="00000000">
        <w:rPr>
          <w:rFonts w:ascii="Calibri" w:cs="Calibri" w:eastAsia="Calibri" w:hAnsi="Calibri"/>
          <w:b w:val="1"/>
          <w:bCs w:val="1"/>
          <w:i w:val="0"/>
          <w:iCs w:val="0"/>
          <w:color w:val="2f6f5e"/>
          <w:sz w:val="28"/>
          <w:szCs w:val="28"/>
          <w:rtl w:val="0"/>
        </w:rPr>
        <w:t xml:space="preserve">15. Adoption</w:t>
      </w:r>
      <w:r w:rsidDel="00000000" w:rsidR="00000000" w:rsidRPr="00000000">
        <w:rPr>
          <w:rtl w:val="0"/>
        </w:rPr>
      </w:r>
    </w:p>
    <w:p w:rsidR="00000000" w:rsidDel="00000000" w:rsidP="00000000" w:rsidRDefault="00000000" w:rsidRPr="00000000" w14:paraId="000000FC">
      <w:pPr>
        <w:spacing w:after="160" w:before="0" w:line="276" w:lineRule="auto"/>
        <w:rPr/>
      </w:pPr>
      <w:r w:rsidDel="00000000" w:rsidR="00000000" w:rsidRPr="00000000">
        <w:rPr>
          <w:rFonts w:ascii="Calibri" w:cs="Calibri" w:eastAsia="Calibri" w:hAnsi="Calibri"/>
          <w:b w:val="0"/>
          <w:bCs w:val="0"/>
          <w:i w:val="0"/>
          <w:iCs w:val="0"/>
          <w:color w:val="1b3a2f"/>
          <w:sz w:val="22"/>
          <w:szCs w:val="22"/>
          <w:rtl w:val="0"/>
        </w:rPr>
        <w:t xml:space="preserve">This outline is the operating map for Citizen Gardens unified civic infrastructure. It does not amend the Governing Principles unless a clause is pulled into v1.2 (recommended: material-asset floor of $5,000 / vehicle / lease &gt;12 months / land). Licensed counsel still reviews Wyoming filings, securities character of any operator subscription, and trademark ownership.</w:t>
      </w:r>
      <w:r w:rsidDel="00000000" w:rsidR="00000000" w:rsidRPr="00000000">
        <w:rPr>
          <w:rtl w:val="0"/>
        </w:rPr>
      </w:r>
    </w:p>
    <w:p w:rsidR="00000000" w:rsidDel="00000000" w:rsidP="00000000" w:rsidRDefault="00000000" w:rsidRPr="00000000" w14:paraId="000000FD">
      <w:pPr>
        <w:spacing w:after="160" w:before="0" w:line="276" w:lineRule="auto"/>
        <w:rPr/>
      </w:pPr>
      <w:r w:rsidDel="00000000" w:rsidR="00000000" w:rsidRPr="00000000">
        <w:rPr>
          <w:rFonts w:ascii="Calibri" w:cs="Calibri" w:eastAsia="Calibri" w:hAnsi="Calibri"/>
          <w:b w:val="0"/>
          <w:bCs w:val="0"/>
          <w:i w:val="0"/>
          <w:iCs w:val="0"/>
          <w:color w:val="1b3a2f"/>
          <w:sz w:val="22"/>
          <w:szCs w:val="22"/>
          <w:rtl w:val="0"/>
        </w:rPr>
        <w:t xml:space="preserve">Precision still open only where a person has not chosen a door or a cap-table seat: economic interest only, or a board seat that cannot touch Examiner.</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jc w:val="left"/>
      <w:rPr/>
    </w:pPr>
    <w:r w:rsidDel="00000000" w:rsidR="00000000" w:rsidRPr="00000000">
      <w:rPr>
        <w:rFonts w:ascii="Calibri" w:cs="Calibri" w:eastAsia="Calibri" w:hAnsi="Calibri"/>
        <w:b w:val="0"/>
        <w:bCs w:val="0"/>
        <w:i w:val="0"/>
        <w:iCs w:val="0"/>
        <w:color w:val="8a6d3b"/>
        <w:sz w:val="16"/>
        <w:szCs w:val="16"/>
        <w:rtl w:val="0"/>
      </w:rPr>
      <w:t xml:space="preserve">UNA now  ·  DUNA at 100  ·  LawfulRecursionVersion 1.0    p. </w:t>
    </w:r>
    <w:r w:rsidDel="00000000" w:rsidR="00000000" w:rsidRPr="00000000">
      <w:rPr>
        <w:rFonts w:ascii="Calibri" w:cs="Calibri" w:eastAsia="Calibri" w:hAnsi="Calibri"/>
        <w:color w:val="8a6d3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jc w:val="right"/>
      <w:rPr/>
    </w:pPr>
    <w:r w:rsidDel="00000000" w:rsidR="00000000" w:rsidRPr="00000000">
      <w:rPr>
        <w:rFonts w:ascii="Calibri" w:cs="Calibri" w:eastAsia="Calibri" w:hAnsi="Calibri"/>
        <w:b w:val="0"/>
        <w:bCs w:val="0"/>
        <w:i w:val="0"/>
        <w:iCs w:val="0"/>
        <w:color w:val="2f6f5e"/>
        <w:sz w:val="16"/>
        <w:szCs w:val="16"/>
        <w:rtl w:val="0"/>
      </w:rPr>
      <w:t xml:space="preserve">Citizen Gardens  ·  Unified Civic Infrastructure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b3a2f"/>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2f6f5e"/>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1b3a2f"/>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b3a2f"/>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