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Based on the Phase Mirror architecture and the designated open-core boundary, the Tier A Rule Registry (MD-001–005) serves as the "Invariant Consistency Oracle." These rules are designed for high-velocity, deterministic detection of structural inconsistencies in DevOps artifacts.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A Rule Registry (MD-001–005)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Rule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Detection 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Evidence Requirements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MD-001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Check Mismatch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Compares required_status_checks in branch protection JSON against actual job names in .github/workflows/*.yml. Flag if a required check has no matching job.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to protection config, missing job name, workflow YAML path.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MD-002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Unpinned Binaries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Scans workflow files and Dockerfiles for package managers (curl, apt, pip, npm) installing without specific hashes or versions (e.g., latest or unpinned URLs).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 path, line number of unpinned install command, detected binary name.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MD-003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Manifest Drift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Executes a dry-run/diff between the committed infrastructure manifest (e.g., K8s, Terraform plan) and the actual live runtime state.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Resource identifier, specific key-value pair drift, timestamp of last known state.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MD-004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Privileged Token in Drift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Inspects permissions block in workflow YAMLs. Flag if a "drift detection" or "audit" job is granted write scopes instead of read-only.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Workflow file path, job ID, specific permission key (e.g., contents: write).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MD-005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Merge Queue Gaps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Analyzes the merge_group event trigger. Flag if the comparison between the PR head and the base branch skips critical security or schema validation jobs.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 of skipped mandatory jobs, merge queue configuration file.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Implementation Guardrails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Evidence-Based Reporting</w:t>
      </w:r>
      <w:r w:rsidDel="00000000" w:rsidR="00000000" w:rsidRPr="00000000">
        <w:rPr>
          <w:rtl w:val="0"/>
        </w:rPr>
        <w:t xml:space="preserve">: Every detection must cite the exact file and line to prevent "vibe-based" critiques and ensure auditability.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Zero-Drift Sync</w:t>
      </w:r>
      <w:r w:rsidDel="00000000" w:rsidR="00000000" w:rsidRPr="00000000">
        <w:rPr>
          <w:rtl w:val="0"/>
        </w:rPr>
        <w:t xml:space="preserve">: These rules are part of the packages/mirror-dissonance/ OSS directory. Any schema changes here must trigger a CI failure in the Pro repo to ensure cross-tier synchronization.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Stability Bound</w:t>
      </w:r>
      <w:r w:rsidDel="00000000" w:rsidR="00000000" w:rsidRPr="00000000">
        <w:rPr>
          <w:rtl w:val="0"/>
        </w:rPr>
        <w:t xml:space="preserve">: Each rule execution is subject to the getStabilityMetric check. If the reasoning engine exceeds the contractive bound ($\lambda_p L_p \geq 1$), the simulator must broadcast a SIG_GOV_KILL and halt the PR.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draft the </w:t>
      </w:r>
      <w:r w:rsidDel="00000000" w:rsidR="00000000" w:rsidRPr="00000000">
        <w:rPr>
          <w:b w:val="1"/>
          <w:bCs w:val="1"/>
          <w:rtl w:val="0"/>
        </w:rPr>
        <w:t xml:space="preserve">Tier B Rule Registry (MD-100–102)</w:t>
      </w:r>
      <w:r w:rsidDel="00000000" w:rsidR="00000000" w:rsidRPr="00000000">
        <w:rPr>
          <w:rtl w:val="0"/>
        </w:rPr>
        <w:t xml:space="preserve">, which focuses on semantic job drift and cross-repo protection?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Phase mirror dissonance___Open core must be useful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The Phase Mirror does not resolve dissonance—it names 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 Clear Guide to Phase Mirror's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Phase Mirror Agency Strategy Meta-Ensemble ADR Plan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T1OkBqtLRc3gs7VSqrJyoKGKAsPi_Jpwt51lRHkXV4M/edit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EB8BTFjJjr2sAcPGTvShTzaWNQxLiQcsDeBJKCk8JDs/edit?usp=drive_web" TargetMode="External"/><Relationship Id="rId7" Type="http://schemas.openxmlformats.org/officeDocument/2006/relationships/hyperlink" Target="https://docs.google.com/document/d/1KguAmCu0omqXDq_BHdkgrmPATRmnD0rabkldb770zBs/edit?usp=drive_web" TargetMode="External"/><Relationship Id="rId8" Type="http://schemas.openxmlformats.org/officeDocument/2006/relationships/hyperlink" Target="https://docs.google.com/document/d/1bnOY6PMaGI21bgX-U35_tlRIwZuYUWUgizprKNHIO-Q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