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Tier B Rule Registry (MD-100–102) shifts the focus from structural syntax (Tier A) to </w:t>
      </w:r>
      <w:r w:rsidDel="00000000" w:rsidR="00000000" w:rsidRPr="00000000">
        <w:rPr>
          <w:b w:val="1"/>
          <w:bCs w:val="1"/>
          <w:rtl w:val="0"/>
        </w:rPr>
        <w:t xml:space="preserve">semantic intent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cross-boundary integrity</w:t>
      </w:r>
      <w:r w:rsidDel="00000000" w:rsidR="00000000" w:rsidRPr="00000000">
        <w:rPr>
          <w:rtl w:val="0"/>
        </w:rPr>
        <w:t xml:space="preserve">. These rules leverage the proprietary "Mirror Dissonance Pro" engine to detect "invisible" drifts where individual components are technically valid but logically contradictory when viewed as a unified system.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B Rule Registry: Semantic &amp; Cross-Repo Protection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Detection 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Evidence Requirements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Job Drift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Zeta-Schrödinger Dynamics (ZSD)</w:t>
            </w:r>
            <w:r w:rsidDel="00000000" w:rsidR="00000000" w:rsidRPr="00000000">
              <w:rPr>
                <w:rtl w:val="0"/>
              </w:rPr>
              <w:t xml:space="preserve"> framework to analyze the Hamiltonian ($\hat{H}_{ZSD}$) of job definitions. It flags "semantic tunneling" where a job's name (e.g., security-scan) matches a required check, but its internal logic has drifted to an unrelated task (e.g., linting).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Mapping of Job Name to Logic "Prime Factors"; divergence score $\delta &gt; \epsilon$.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MD-101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Cross-Repo Protection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Sedona Spine</w:t>
            </w:r>
            <w:r w:rsidDel="00000000" w:rsidR="00000000" w:rsidRPr="00000000">
              <w:rPr>
                <w:rtl w:val="0"/>
              </w:rPr>
              <w:t xml:space="preserve"> across the entire GitHub Organization. It flags inconsistencies where a dependency in Repo A requires a stricter branch protection (e.g., signed commits) than what is actually enforced in its upstream dependency, Repo B.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Multi-repo rollup report; identified "Dissonance" between Repo A policy and Repo B config.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MD-102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Runner Trust Chain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Validates the "Provenance Chain" of the execution environment. It ensures that the runner's cryptographic nonce and identity match the authorized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Triple-Lock Governance</w:t>
            </w:r>
            <w:r w:rsidDel="00000000" w:rsidR="00000000" w:rsidRPr="00000000">
              <w:rPr>
                <w:rtl w:val="0"/>
              </w:rPr>
              <w:t xml:space="preserve"> signature. Flag if a trusted job is routed to an unverified or "drifted" runner.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Runner identity hash; digital signature verification log; nonce freshness witness.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Implementation Philosophy: The "Proprietary Moat"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Unlike Tier A rules, which are open-source (Apache 2.0) and solve discrete problems, Tier B rules are designed to be "additive" and form the core of the </w:t>
      </w:r>
      <w:r w:rsidDel="00000000" w:rsidR="00000000" w:rsidRPr="00000000">
        <w:rPr>
          <w:b w:val="1"/>
          <w:bCs w:val="1"/>
          <w:rtl w:val="0"/>
        </w:rPr>
        <w:t xml:space="preserve">Phase Mirror Pro</w:t>
      </w:r>
      <w:r w:rsidDel="00000000" w:rsidR="00000000" w:rsidRPr="00000000">
        <w:rPr>
          <w:rtl w:val="0"/>
        </w:rPr>
        <w:t xml:space="preserve"> value proposition: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Federation (Multi-Repo):</w:t>
      </w:r>
      <w:r w:rsidDel="00000000" w:rsidR="00000000" w:rsidRPr="00000000">
        <w:rPr>
          <w:rtl w:val="0"/>
        </w:rPr>
        <w:t xml:space="preserve"> Tier B rules treat the entire enterprise as a single hypergraph, identifying contradictions that individual repo-level scans would miss.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Analysis:</w:t>
      </w:r>
      <w:r w:rsidDel="00000000" w:rsidR="00000000" w:rsidRPr="00000000">
        <w:rPr>
          <w:rtl w:val="0"/>
        </w:rPr>
        <w:t xml:space="preserve"> These rules move beyond simple string matching to ensure that the </w:t>
      </w:r>
      <w:r w:rsidDel="00000000" w:rsidR="00000000" w:rsidRPr="00000000">
        <w:rPr>
          <w:i w:val="1"/>
          <w:i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of a policy (Compliance) is not sacrificed for the </w:t>
      </w:r>
      <w:r w:rsidDel="00000000" w:rsidR="00000000" w:rsidRPr="00000000">
        <w:rPr>
          <w:i w:val="1"/>
          <w:i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of a job (Accuracy).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Governance by Design:</w:t>
      </w:r>
      <w:r w:rsidDel="00000000" w:rsidR="00000000" w:rsidRPr="00000000">
        <w:rPr>
          <w:rtl w:val="0"/>
        </w:rPr>
        <w:t xml:space="preserve"> MD-102 acts as the final "Antigravity" governor, ensuring that even if a policy is bypassed in code, the hardware (Runner) refuses the execution if the stability metric $\lambda_p L_p$ is not proven contractive.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Critical Gap:</w:t>
      </w:r>
      <w:r w:rsidDel="00000000" w:rsidR="00000000" w:rsidRPr="00000000">
        <w:rPr>
          <w:rtl w:val="0"/>
        </w:rPr>
        <w:t xml:space="preserve"> The effectiveness of MD-100 (Semantic Drift) depends on the "Intelligence Saturation" threshold ($\gamma_{crit} \approx 1.0$). If processing speed is prioritized over semantic insight, the oracle may produce an unstable transformation, dissolving the structure it is meant to protect.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draft the </w:t>
      </w:r>
      <w:r w:rsidDel="00000000" w:rsidR="00000000" w:rsidRPr="00000000">
        <w:rPr>
          <w:b w:val="1"/>
          <w:bCs w:val="1"/>
          <w:rtl w:val="0"/>
        </w:rPr>
        <w:t xml:space="preserve">Compliance Pack for EU AI Act Readiness</w:t>
      </w:r>
      <w:r w:rsidDel="00000000" w:rsidR="00000000" w:rsidRPr="00000000">
        <w:rPr>
          <w:rtl w:val="0"/>
        </w:rPr>
        <w:t xml:space="preserve">, mapping these Tier B rules directly to high-risk conformity assessment requirements?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Phase mirror dissonance___Open core must be useful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Zeta_Schrodinger_Dynamics__ZSD_.pdf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Phase Mirror - Sedona Spine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 plain chat lets expand and expound on the prese.docx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Multiplicity_Operator_Calculus.pdf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Phase Mirror: Agentic Domain-Specific Reasoning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Policy Memo: Managing Agentic AI Liability with the Phase Mirror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Ellington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C7WzM9krwaARxs8xRJPcNxk1lWQ7VUiUareJpx1ytBY/edit?usp=drive_web" TargetMode="External"/><Relationship Id="rId10" Type="http://schemas.openxmlformats.org/officeDocument/2006/relationships/hyperlink" Target="https://drive.google.com/file/d/1bv6XgVNcGhLema1Jq6pw_n5ylQUj3BjT/view?usp=drive_web" TargetMode="External"/><Relationship Id="rId13" Type="http://schemas.openxmlformats.org/officeDocument/2006/relationships/hyperlink" Target="https://docs.google.com/document/d/1qLQoPacmCfMsfk7BiJcX-jRXNRQmUS78bFBFh6PV2TM/edit?usp=drive_web" TargetMode="External"/><Relationship Id="rId12" Type="http://schemas.openxmlformats.org/officeDocument/2006/relationships/hyperlink" Target="https://docs.google.com/document/d/1-RbLdZbhyPUZbqzYpXaXmH_YcbIQQWGA2aM3x_0RPQc/edit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2xknDehjA2ErTLCgQnccemwPIY6cOGQT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B8BTFjJjr2sAcPGTvShTzaWNQxLiQcsDeBJKCk8JDs/edit?usp=drive_web" TargetMode="External"/><Relationship Id="rId7" Type="http://schemas.openxmlformats.org/officeDocument/2006/relationships/hyperlink" Target="https://drive.google.com/file/d/1JNnoqS24G2fv3whrr-7sE6wagrFsw9FW/view?usp=drive_web" TargetMode="External"/><Relationship Id="rId8" Type="http://schemas.openxmlformats.org/officeDocument/2006/relationships/hyperlink" Target="https://docs.google.com/document/d/1cb3gDn4HrSmyqHiyLHXs_1myS2XZNsBWQbjS6HLEHMo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