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Compliance Pack for EU AI Act Readiness maps the Phase Mirror Tier B rules directly to the high-risk AI conformity assessment requirements mandated by Regulation 2024/1689. By integrating the "Mirror Dissonance Pro" semantic engine, organizations can automate the structural and logical verification required for Article 9-15 compliance.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EU AI Act Compliance Pack: Tier B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 AI Act Article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Mirror Tier B Binding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Detection &amp; Enforcement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9 &amp;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Management &amp; Robustness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MD-100: Semantic Job 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Uses Zeta-Schrödinger Dynamics ($\hat{H}_{ZSD}$) to detect "semantic tunneling" where a job's stated purpose (e.g., security scan) drifts from its actual implementation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Governance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MD-100: Reasoning vs. Hygiene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Analyzes causal reasoning chains to surface data hygiene gaps that would otherwise lead to wrongful, non-compliant conclusions in high-risk domains.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Record-Keeping &amp; Logging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MD-102: Runner Trust 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Validates the "Provenance Chain" by ensuring every execution is signed with a cryptographic nonce and identity that matches the Triple-Lock Governance signature.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13 &amp; 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 &amp; Human Oversight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MD-101: Cross-Repo Protection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Monitors the Sedona Spine across the entire organization to flag inconsistencies where upstream dependency policies (e.g., human-in-the-loop) are bypassed by downstream repos.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Obligations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MD-102: Execution Lock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Implements a "governance by design" kill-switch; the hardware (Runner) refuses execution if the stability metric ($\lambda_p L_p$) is not proven contractive.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High-Risk Conformity Assessment Workflow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Compliance Pack automates the transition from "vibe-based" claims to auditable evidence required for Annex III systems: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Classification Engine:</w:t>
      </w:r>
      <w:r w:rsidDel="00000000" w:rsidR="00000000" w:rsidRPr="00000000">
        <w:rPr>
          <w:rtl w:val="0"/>
        </w:rPr>
        <w:t xml:space="preserve"> Automatically maps AI systems to EU risk levels (Unacceptable, High, Limited, Minimal) based on Annex III categories.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Mapping:</w:t>
      </w:r>
      <w:r w:rsidDel="00000000" w:rsidR="00000000" w:rsidRPr="00000000">
        <w:rPr>
          <w:rtl w:val="0"/>
        </w:rPr>
        <w:t xml:space="preserve"> Auto-elevates Phase Mirror "High" tier alerts to "Critical" if the system is classified as High-Risk under the EU AI Act.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Dissonance Reporting:</w:t>
      </w:r>
      <w:r w:rsidDel="00000000" w:rsidR="00000000" w:rsidRPr="00000000">
        <w:rPr>
          <w:rtl w:val="0"/>
        </w:rPr>
        <w:t xml:space="preserve"> Generates a dissonance_report.json that includes the Article-specific evidence, stability bounds, and machine decisions (e.g., SIG_GOV_KILL) required for regulatory technical documentation.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Documentation Templates:</w:t>
      </w:r>
      <w:r w:rsidDel="00000000" w:rsidR="00000000" w:rsidRPr="00000000">
        <w:rPr>
          <w:rtl w:val="0"/>
        </w:rPr>
        <w:t xml:space="preserve"> Provides pre-built templates for Article 11 technical documentation and Article 62 incident reporting.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Critical Compliance Note:</w:t>
      </w:r>
      <w:r w:rsidDel="00000000" w:rsidR="00000000" w:rsidRPr="00000000">
        <w:rPr>
          <w:rtl w:val="0"/>
        </w:rPr>
        <w:t xml:space="preserve"> The effectiveness of MD-100 (Semantic Drift) is bound by the </w:t>
      </w:r>
      <w:r w:rsidDel="00000000" w:rsidR="00000000" w:rsidRPr="00000000">
        <w:rPr>
          <w:b w:val="1"/>
          <w:bCs w:val="1"/>
          <w:rtl w:val="0"/>
        </w:rPr>
        <w:t xml:space="preserve">Intelligence Saturation</w:t>
      </w:r>
      <w:r w:rsidDel="00000000" w:rsidR="00000000" w:rsidRPr="00000000">
        <w:rPr>
          <w:rtl w:val="0"/>
        </w:rPr>
        <w:t xml:space="preserve"> threshold ($\gamma_{crit} \approx 1.0$). If processing speed is prioritized over semantic insight, the oracle may produce an unstable transformation, dissolving the regulatory structure it is meant to protect.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Article 11 Technical Documentation Template</w:t>
      </w:r>
      <w:r w:rsidDel="00000000" w:rsidR="00000000" w:rsidRPr="00000000">
        <w:rPr>
          <w:rtl w:val="0"/>
        </w:rPr>
        <w:t xml:space="preserve"> that automatically pulls data from the Tier B Dissonance Reports for your upcoming conformity assessment?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COMPLIANCE PACK QUICK START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 plain chat lets expand and expound on the prese.docx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Agentic Domain-Specific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Implementation Guide: Applying Phase Mirror Dissonance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OO1_jHatd4mZzRc_Wzerj3gVlkmj-_rh4qZ_6Rm2Eo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Yt2dfjYHMXNLApwjx4OOYNZv-Xs1H2NEgnDEtdmKk/edit?usp=drive_web" TargetMode="External"/><Relationship Id="rId7" Type="http://schemas.openxmlformats.org/officeDocument/2006/relationships/hyperlink" Target="https://drive.google.com/file/d/12xknDehjA2ErTLCgQnccemwPIY6cOGQT/view?usp=drive_web" TargetMode="External"/><Relationship Id="rId8" Type="http://schemas.openxmlformats.org/officeDocument/2006/relationships/hyperlink" Target="https://docs.google.com/document/d/1LbIInyYf5G9k66JHdKnIRveMw2nKLmPLGaawuOziSJQ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