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ensure your automated logs meet the 10-year retention requirement for high-risk AI systems under the EU AI Act, the </w:t>
      </w:r>
      <w:r w:rsidDel="00000000" w:rsidR="00000000" w:rsidRPr="00000000">
        <w:rPr>
          <w:b w:val="1"/>
          <w:bCs w:val="1"/>
          <w:rtl w:val="0"/>
        </w:rPr>
        <w:t xml:space="preserve">Article 12 Record-Keeping Schema</w:t>
      </w:r>
      <w:r w:rsidDel="00000000" w:rsidR="00000000" w:rsidRPr="00000000">
        <w:rPr>
          <w:rtl w:val="0"/>
        </w:rPr>
        <w:t xml:space="preserve"> is designed as a deterministic, cryptographically signed ledger. This schema bridges the gap between technical execution and regulatory auditability by capturing the "provenance chain" of every decision made by the Phase Mirror Oracle.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Article 12 Record-Keeping Schema (JSON)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"$schema": "[link removed]",</w:t>
        <w:br w:type="textWrapping"/>
        <w:t xml:space="preserve">  "record_type": "high_risk_audit_log",</w:t>
        <w:br w:type="textWrapping"/>
        <w:t xml:space="preserve">  "retention_policy": {</w:t>
        <w:br w:type="textWrapping"/>
        <w:t xml:space="preserve">    "duration_years": 10,</w:t>
        <w:br w:type="textWrapping"/>
        <w:t xml:space="preserve">    "expiry_date": "CALCULATED_AT_RUNTIME",</w:t>
        <w:br w:type="textWrapping"/>
        <w:t xml:space="preserve">    "legal_basis": "EU_AI_ACT_ART_12"</w:t>
        <w:br w:type="textWrapping"/>
        <w:t xml:space="preserve">  },</w:t>
        <w:br w:type="textWrapping"/>
        <w:t xml:space="preserve">  "identity_witness": {</w:t>
        <w:br w:type="textWrapping"/>
        <w:t xml:space="preserve">    "system_id": "string (UUID)",</w:t>
        <w:br w:type="textWrapping"/>
        <w:t xml:space="preserve">    "runner_hash": "string (SHA-256)",</w:t>
        <w:br w:type="textWrapping"/>
        <w:t xml:space="preserve">    "nonce": "string (Cryptographic Witness)"</w:t>
        <w:br w:type="textWrapping"/>
        <w:t xml:space="preserve">  },</w:t>
        <w:br w:type="textWrapping"/>
        <w:t xml:space="preserve">  "execution_context": {</w:t>
        <w:br w:type="textWrapping"/>
        <w:t xml:space="preserve">    "timestamp": "ISO-8601",</w:t>
        <w:br w:type="textWrapping"/>
        <w:t xml:space="preserve">    "event_type": "string (e.g., dissonance_analysis, merge_gate)",</w:t>
        <w:br w:type="textWrapping"/>
        <w:t xml:space="preserve">    "sedona_spine_version": "string (SemVer)"</w:t>
        <w:br w:type="textWrapping"/>
        <w:t xml:space="preserve">  },</w:t>
        <w:br w:type="textWrapping"/>
        <w:t xml:space="preserve">  "invariant_proofs": {</w:t>
        <w:br w:type="textWrapping"/>
        <w:t xml:space="preserve">    "stability_metric": "number (λ_p L_p)",</w:t>
        <w:br w:type="textWrapping"/>
        <w:t xml:space="preserve">    "is_contractive": "boolean",</w:t>
        <w:br w:type="textWrapping"/>
        <w:t xml:space="preserve">    "dissonance_report_hash": "string (SHA-256)"</w:t>
        <w:br w:type="textWrapping"/>
        <w:t xml:space="preserve">  },</w:t>
        <w:br w:type="textWrapping"/>
        <w:t xml:space="preserve">  "governance_artifacts": {</w:t>
        <w:br w:type="textWrapping"/>
        <w:t xml:space="preserve">    "machine_decision": "string (pass|warn|block)",</w:t>
        <w:br w:type="textWrapping"/>
        <w:t xml:space="preserve">    "governance_trigger": "string (NONE|SIG_GOV_KILL|HUMAN_ON_EXCEPTION)",</w:t>
        <w:br w:type="textWrapping"/>
        <w:t xml:space="preserve">    "human_reviewer_id": "string (Optional, for exceptions)"</w:t>
        <w:br w:type="textWrapping"/>
        <w:t xml:space="preserve">  },</w:t>
        <w:br w:type="textWrapping"/>
        <w:t xml:space="preserve">  "integrity_seal": {</w:t>
        <w:br w:type="textWrapping"/>
        <w:t xml:space="preserve">    "signature": "string (ED25519)",</w:t>
        <w:br w:type="textWrapping"/>
        <w:t xml:space="preserve">    "public_key": "string (Phase Mirror Trust Root)"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Critical Implementation Specifications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Retention Period:</w:t>
      </w:r>
      <w:r w:rsidDel="00000000" w:rsidR="00000000" w:rsidRPr="00000000">
        <w:rPr>
          <w:rtl w:val="0"/>
        </w:rPr>
        <w:t xml:space="preserve"> Per Addendum A.3 of your compliance provisions, Phase Mirror supports the maintenance of logs and records for a minimum of 10 years for high-risk systems.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Cryptographic Nonce &amp; Witness:</w:t>
      </w:r>
      <w:r w:rsidDel="00000000" w:rsidR="00000000" w:rsidRPr="00000000">
        <w:rPr>
          <w:rtl w:val="0"/>
        </w:rPr>
        <w:t xml:space="preserve"> To satisfy the </w:t>
      </w:r>
      <w:r w:rsidDel="00000000" w:rsidR="00000000" w:rsidRPr="00000000">
        <w:rPr>
          <w:b w:val="1"/>
          <w:bCs w:val="1"/>
          <w:rtl w:val="0"/>
        </w:rPr>
        <w:t xml:space="preserve">Runner Trust Chain (MD-102)</w:t>
      </w:r>
      <w:r w:rsidDel="00000000" w:rsidR="00000000" w:rsidRPr="00000000">
        <w:rPr>
          <w:rtl w:val="0"/>
        </w:rPr>
        <w:t xml:space="preserve"> and Article 12 provenance requirements, each log entry includes a unique cryptographic nonce and the runner’s identity hash to prove the execution occurred in a trusted environment.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Stability Validation:</w:t>
      </w:r>
      <w:r w:rsidDel="00000000" w:rsidR="00000000" w:rsidRPr="00000000">
        <w:rPr>
          <w:rtl w:val="0"/>
        </w:rPr>
        <w:t xml:space="preserve"> The schema explicitly records the stability_metric ($\lambda_p L_p$). If a system was permitted to run, this log serves as the permanent record that the engine was proven contractive at the time of execution.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Exportability:</w:t>
      </w:r>
      <w:r w:rsidDel="00000000" w:rsidR="00000000" w:rsidRPr="00000000">
        <w:rPr>
          <w:rtl w:val="0"/>
        </w:rPr>
        <w:t xml:space="preserve"> As required by Section A.3, this schema is formatted to enable data exports suitable for regulatory submission to EU Supervisory Authorities.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 Control &amp; Security:</w:t>
      </w:r>
      <w:r w:rsidDel="00000000" w:rsidR="00000000" w:rsidRPr="00000000">
        <w:rPr>
          <w:rtl w:val="0"/>
        </w:rPr>
        <w:t xml:space="preserve"> In alignment with HIPAA and general security standards, access to these long-term records is restricted via administrative and technical safeguards, ensuring the integrity and availability of the logs for the full 10-year duration.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Would you like me to generate a </w:t>
      </w:r>
      <w:r w:rsidDel="00000000" w:rsidR="00000000" w:rsidRPr="00000000">
        <w:rPr>
          <w:b w:val="1"/>
          <w:bCs w:val="1"/>
          <w:rtl w:val="0"/>
        </w:rPr>
        <w:t xml:space="preserve">Data Retention Policy document</w:t>
      </w:r>
      <w:r w:rsidDel="00000000" w:rsidR="00000000" w:rsidRPr="00000000">
        <w:rPr>
          <w:rtl w:val="0"/>
        </w:rPr>
        <w:t xml:space="preserve"> that formally codifies these 10-year requirements for your Enterprise tier internal audit?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