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Mirror Data Retention Policy: Enterprise Tier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Document Owner:</w:t>
      </w:r>
      <w:r w:rsidDel="00000000" w:rsidR="00000000" w:rsidRPr="00000000">
        <w:rPr>
          <w:rtl w:val="0"/>
        </w:rPr>
        <w:t xml:space="preserve"> Global Compliance &amp; Legal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Jun 19,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Enterprise Confidential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Regulatory Basis:</w:t>
      </w:r>
      <w:r w:rsidDel="00000000" w:rsidR="00000000" w:rsidRPr="00000000">
        <w:rPr>
          <w:rtl w:val="0"/>
        </w:rPr>
        <w:t xml:space="preserve"> EU AI Act (Regulation 2024/1689), GDPR, SEC AI Disclosure Requirements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I. Purpose and Scope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policy formally codifies the data retention requirements for Phase Mirror Enterprise tier customers, specifically governing the lifecycle of artifacts generated within high-risk AI governance workflows. It ensures that all technical documentation, audit trails, and machine decisions are maintained in a manner that satisfies the 10-year regulatory obligations mandated by Article 12 of the EU AI Act.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Retention Mandate: The 10-Year Rule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</w:t>
      </w:r>
      <w:r w:rsidDel="00000000" w:rsidR="00000000" w:rsidRPr="00000000">
        <w:rPr>
          <w:b w:val="1"/>
          <w:bCs w:val="1"/>
          <w:rtl w:val="0"/>
        </w:rPr>
        <w:t xml:space="preserve">Addendum A.3 (High-Risk AI System Data)</w:t>
      </w:r>
      <w:r w:rsidDel="00000000" w:rsidR="00000000" w:rsidRPr="00000000">
        <w:rPr>
          <w:rtl w:val="0"/>
        </w:rPr>
        <w:t xml:space="preserve">, Phase Mirror is contractually obligated to support the maintenance of logs and records for a minimum of </w:t>
      </w:r>
      <w:r w:rsidDel="00000000" w:rsidR="00000000" w:rsidRPr="00000000">
        <w:rPr>
          <w:b w:val="1"/>
          <w:bCs w:val="1"/>
          <w:rtl w:val="0"/>
        </w:rPr>
        <w:t xml:space="preserve">10 years</w:t>
      </w:r>
      <w:r w:rsidDel="00000000" w:rsidR="00000000" w:rsidRPr="00000000">
        <w:rPr>
          <w:rtl w:val="0"/>
        </w:rPr>
        <w:t xml:space="preserve"> for systems classified as high-risk under EU AI Act Article 6.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Artifact 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Regulatory Driver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Retention Period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Dissonance Reports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EU AI Act Art. 11 (Technical Doc)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Years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Decision Logs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EU AI Act Art. 12 (Record-Keeping)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Years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Sedona Spine Invariants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 AI Disclosure / SR 11-7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Years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Runner Trust Chain Logs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EU AI Act Art. 15 (Robustness)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Years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HIPAA PHI Records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 CFR § 164.312(b)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 Years (Standard) / 10 Years (Enterprise AI)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Data Integrity and "Zero Drift" Standards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To ensure records remain deterministic and defensible over the 10-year horizon, the following technical safeguards are mandatory: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Cryptographic Sealing:</w:t>
      </w:r>
      <w:r w:rsidDel="00000000" w:rsidR="00000000" w:rsidRPr="00000000">
        <w:rPr>
          <w:rtl w:val="0"/>
        </w:rPr>
        <w:t xml:space="preserve"> Every record must be bound by a cryptographic nonce and identity witness at the time of creation to prove execution provenance.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Immutable Storage:</w:t>
      </w:r>
      <w:r w:rsidDel="00000000" w:rsidR="00000000" w:rsidRPr="00000000">
        <w:rPr>
          <w:rtl w:val="0"/>
        </w:rPr>
        <w:t xml:space="preserve"> Enterprise records are stored on WORM (Write Once, Read Many) compliant infrastructure to prevent tampering or unauthorized modification.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Stability Metric Anchoring:</w:t>
      </w:r>
      <w:r w:rsidDel="00000000" w:rsidR="00000000" w:rsidRPr="00000000">
        <w:rPr>
          <w:rtl w:val="0"/>
        </w:rPr>
        <w:t xml:space="preserve"> Every retained dissonance_report must include the stability_metric ($\lambda_p L_p$) to verify the engine was proven contractive at the moment of decisioning.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Data Portability and Regulatory Access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Export Readiness:</w:t>
      </w:r>
      <w:r w:rsidDel="00000000" w:rsidR="00000000" w:rsidRPr="00000000">
        <w:rPr>
          <w:rtl w:val="0"/>
        </w:rPr>
        <w:t xml:space="preserve"> All retained data must be exportable in machine-readable formats (e.g., JSON per the Article 12 Record-Keeping Schema) suitable for submission to EU Supervisory Authorities or the SEC.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Incident Notification:</w:t>
      </w:r>
      <w:r w:rsidDel="00000000" w:rsidR="00000000" w:rsidRPr="00000000">
        <w:rPr>
          <w:rtl w:val="0"/>
        </w:rPr>
        <w:t xml:space="preserve"> Any security incident affecting compliance data will trigger notification within </w:t>
      </w:r>
      <w:r w:rsidDel="00000000" w:rsidR="00000000" w:rsidRPr="00000000">
        <w:rPr>
          <w:b w:val="1"/>
          <w:bCs w:val="1"/>
          <w:rtl w:val="0"/>
        </w:rPr>
        <w:t xml:space="preserve">48 hours</w:t>
      </w:r>
      <w:r w:rsidDel="00000000" w:rsidR="00000000" w:rsidRPr="00000000">
        <w:rPr>
          <w:rtl w:val="0"/>
        </w:rPr>
        <w:t xml:space="preserve">, providing all necessary evidence for regulatory reporting.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V. End-of-Life and Disposal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Upon the expiration of the 10-year retention period or termination of the agreement: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Return or Destroy:</w:t>
      </w:r>
      <w:r w:rsidDel="00000000" w:rsidR="00000000" w:rsidRPr="00000000">
        <w:rPr>
          <w:rtl w:val="0"/>
        </w:rPr>
        <w:t xml:space="preserve"> Phase Mirror will return or destroy all Personal Data and PHI within 30 days.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Certification:</w:t>
      </w:r>
      <w:r w:rsidDel="00000000" w:rsidR="00000000" w:rsidRPr="00000000">
        <w:rPr>
          <w:rtl w:val="0"/>
        </w:rPr>
        <w:t xml:space="preserve"> A formal Certification of Destruction will be issued by the Phase Mirror Security Officer.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Feasibility Exception:</w:t>
      </w:r>
      <w:r w:rsidDel="00000000" w:rsidR="00000000" w:rsidRPr="00000000">
        <w:rPr>
          <w:rtl w:val="0"/>
        </w:rPr>
        <w:t xml:space="preserve"> If destruction is not technically feasible, protections under this policy and the DPA extend to the retained data indefinitely.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Implementation Levers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[Compliance]</w:t>
      </w:r>
      <w:r w:rsidDel="00000000" w:rsidR="00000000" w:rsidRPr="00000000">
        <w:rPr>
          <w:rtl w:val="0"/>
        </w:rPr>
        <w:t xml:space="preserve"> — Audit 10-year storage volume and redundancy — </w:t>
      </w:r>
      <w:r w:rsidDel="00000000" w:rsidR="00000000" w:rsidRPr="00000000">
        <w:rPr>
          <w:b w:val="1"/>
          <w:b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100% Record Availability — </w:t>
      </w:r>
      <w:r w:rsidDel="00000000" w:rsidR="00000000" w:rsidRPr="00000000">
        <w:rPr>
          <w:b w:val="1"/>
          <w:bCs w:val="1"/>
          <w:rtl w:val="0"/>
        </w:rPr>
        <w:t xml:space="preserve">Horizon:</w:t>
      </w:r>
      <w:r w:rsidDel="00000000" w:rsidR="00000000" w:rsidRPr="00000000">
        <w:rPr>
          <w:rtl w:val="0"/>
        </w:rPr>
        <w:t xml:space="preserve"> 30 days.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[Legal]</w:t>
      </w:r>
      <w:r w:rsidDel="00000000" w:rsidR="00000000" w:rsidRPr="00000000">
        <w:rPr>
          <w:rtl w:val="0"/>
        </w:rPr>
        <w:t xml:space="preserve"> — Execute Enterprise custom BAA/DPA with 10-year riders — </w:t>
      </w:r>
      <w:r w:rsidDel="00000000" w:rsidR="00000000" w:rsidRPr="00000000">
        <w:rPr>
          <w:b w:val="1"/>
          <w:b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Signed Agreements — </w:t>
      </w:r>
      <w:r w:rsidDel="00000000" w:rsidR="00000000" w:rsidRPr="00000000">
        <w:rPr>
          <w:b w:val="1"/>
          <w:bCs w:val="1"/>
          <w:rtl w:val="0"/>
        </w:rPr>
        <w:t xml:space="preserve">Horizon:</w:t>
      </w:r>
      <w:r w:rsidDel="00000000" w:rsidR="00000000" w:rsidRPr="00000000">
        <w:rPr>
          <w:rtl w:val="0"/>
        </w:rPr>
        <w:t xml:space="preserve"> 14 days.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[Eng]</w:t>
      </w:r>
      <w:r w:rsidDel="00000000" w:rsidR="00000000" w:rsidRPr="00000000">
        <w:rPr>
          <w:rtl w:val="0"/>
        </w:rPr>
        <w:t xml:space="preserve"> — Implement automated "Archive" status for records &gt;2 years — </w:t>
      </w:r>
      <w:r w:rsidDel="00000000" w:rsidR="00000000" w:rsidRPr="00000000">
        <w:rPr>
          <w:b w:val="1"/>
          <w:b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Retrieval Latency &lt;4h — </w:t>
      </w:r>
      <w:r w:rsidDel="00000000" w:rsidR="00000000" w:rsidRPr="00000000">
        <w:rPr>
          <w:b w:val="1"/>
          <w:bCs w:val="1"/>
          <w:rtl w:val="0"/>
        </w:rPr>
        <w:t xml:space="preserve">Horizon:</w:t>
      </w:r>
      <w:r w:rsidDel="00000000" w:rsidR="00000000" w:rsidRPr="00000000">
        <w:rPr>
          <w:rtl w:val="0"/>
        </w:rPr>
        <w:t xml:space="preserve"> 45 days.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Precision Question:</w:t>
      </w:r>
      <w:r w:rsidDel="00000000" w:rsidR="00000000" w:rsidRPr="00000000">
        <w:rPr>
          <w:rtl w:val="0"/>
        </w:rPr>
        <w:t xml:space="preserve"> Should the 10-year retention trigger be automated based on the Annex III risk classification, or must it be manually toggled for each AI system?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draft the </w:t>
      </w:r>
      <w:r w:rsidDel="00000000" w:rsidR="00000000" w:rsidRPr="00000000">
        <w:rPr>
          <w:b w:val="1"/>
          <w:bCs w:val="1"/>
          <w:rtl w:val="0"/>
        </w:rPr>
        <w:t xml:space="preserve">Internal Audit Checklist</w:t>
      </w:r>
      <w:r w:rsidDel="00000000" w:rsidR="00000000" w:rsidRPr="00000000">
        <w:rPr>
          <w:rtl w:val="0"/>
        </w:rPr>
        <w:t xml:space="preserve"> to verify these 10-year retention controls for your next SOC 2 or regulatory examination?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EU AI Act-specific provisions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Agentic Domain-Specific Reasoning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BAA Summary_FAQ for sales teams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5_AMOGNrEZU6mnjkmwWHU1GmUUAdc1_DotQc_mi6T4c/edit?usp=drive_web" TargetMode="External"/><Relationship Id="rId7" Type="http://schemas.openxmlformats.org/officeDocument/2006/relationships/hyperlink" Target="https://docs.google.com/document/d/1LbIInyYf5G9k66JHdKnIRveMw2nKLmPLGaawuOziSJQ/edit?usp=drive_web" TargetMode="External"/><Relationship Id="rId8" Type="http://schemas.openxmlformats.org/officeDocument/2006/relationships/hyperlink" Target="https://docs.google.com/document/d/1vK1_nL_IOi7Di_CFY-IZBWdDjiGWuTre-AStQMUIe-o/edit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