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Internal Audit Checklist: 10-Year Retention &amp; Governance ControlsThis checklist is designed to verify the deterministic governance and data retention controls required for </w:t>
      </w:r>
      <w:r w:rsidDel="00000000" w:rsidR="00000000" w:rsidRPr="00000000">
        <w:rPr>
          <w:b w:val="1"/>
          <w:bCs w:val="1"/>
          <w:rtl w:val="0"/>
        </w:rPr>
        <w:t xml:space="preserve">Phase Mirror Enterprise</w:t>
      </w:r>
      <w:r w:rsidDel="00000000" w:rsidR="00000000" w:rsidRPr="00000000">
        <w:rPr>
          <w:rtl w:val="0"/>
        </w:rPr>
        <w:t xml:space="preserve"> tier customers, specifically focusing on </w:t>
      </w:r>
      <w:r w:rsidDel="00000000" w:rsidR="00000000" w:rsidRPr="00000000">
        <w:rPr>
          <w:b w:val="1"/>
          <w:bCs w:val="1"/>
          <w:rtl w:val="0"/>
        </w:rPr>
        <w:t xml:space="preserve">EU AI Act Article 12</w:t>
      </w:r>
      <w:r w:rsidDel="00000000" w:rsidR="00000000" w:rsidRPr="00000000">
        <w:rPr>
          <w:rtl w:val="0"/>
        </w:rPr>
        <w:t xml:space="preserve"> compliance and </w:t>
      </w:r>
      <w:r w:rsidDel="00000000" w:rsidR="00000000" w:rsidRPr="00000000">
        <w:rPr>
          <w:b w:val="1"/>
          <w:bCs w:val="1"/>
          <w:rtl w:val="0"/>
        </w:rPr>
        <w:t xml:space="preserve">SOC 2</w:t>
      </w:r>
      <w:r w:rsidDel="00000000" w:rsidR="00000000" w:rsidRPr="00000000">
        <w:rPr>
          <w:rtl w:val="0"/>
        </w:rPr>
        <w:t xml:space="preserve"> readiness.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Retention &amp; Data Lifecycle Management (Art. 12 / Art. 62)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Objective: Confirm the system maintains the 10-year retention mandate for high-risk AI artifacts.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Control 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Audit Procedure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Pass/Fail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Evidence Required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RET-01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Verify that high-risk system artifacts (Dissonance Reports, Machine Decisions) are flagged for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10-year minimum retention period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Data Retention Policy; Database schema showing expiry_date.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RET-02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Confirm that deletion workflows for high-risk data are disabled until the 10-year horizon is met.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WORM (Write Once, Read Many) storage configuration logs.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RET-03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Inspect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Certification of Destruction</w:t>
            </w:r>
            <w:r w:rsidDel="00000000" w:rsidR="00000000" w:rsidRPr="00000000">
              <w:rPr>
                <w:rtl w:val="0"/>
              </w:rPr>
              <w:t xml:space="preserve"> process for records exceeding the 10-year limit.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Sample destruction certificate signed by the Security Officer.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RET-04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Verify that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Enterprise tier</w:t>
            </w:r>
            <w:r w:rsidDel="00000000" w:rsidR="00000000" w:rsidRPr="00000000">
              <w:rPr>
                <w:rtl w:val="0"/>
              </w:rPr>
              <w:t xml:space="preserve"> customers can request dedicated EU-hosted instances to meet data residency requirements.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Instance provisioning logs; Service Level Agreement (SLA).</w:t>
            </w:r>
          </w:p>
        </w:tc>
      </w:tr>
    </w:tbl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Deterministic Governance &amp; "Zero Drift" (Art. 11 / Art. 15)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Objective: Ensure every decision is cryptographically bound to the Sedona Spine invariants.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Control 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Audit Procedure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Pass/Fail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Evidence Required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GOV-01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Verify that every dissonance_report contains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Stability Metric ($\lambda_p L_p$)</w:t>
            </w:r>
            <w:r w:rsidDel="00000000" w:rsidR="00000000" w:rsidRPr="00000000">
              <w:rPr>
                <w:rtl w:val="0"/>
              </w:rPr>
              <w:t xml:space="preserve"> calculation.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Sample JSON Dissonance Report.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GOV-02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Confirm that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SIG_GOV_KILL</w:t>
            </w:r>
            <w:r w:rsidDel="00000000" w:rsidR="00000000" w:rsidRPr="00000000">
              <w:rPr>
                <w:rtl w:val="0"/>
              </w:rPr>
              <w:t xml:space="preserve"> trigger automatically halts execution if the stability metric $\lambda_p L_p \geq 1$.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CI/CD pipeline logs showing a "block" verdict for an unstable run.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GOV-03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Audit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Runner Trust Chain (MD-102)</w:t>
            </w:r>
            <w:r w:rsidDel="00000000" w:rsidR="00000000" w:rsidRPr="00000000">
              <w:rPr>
                <w:rtl w:val="0"/>
              </w:rPr>
              <w:t xml:space="preserve"> to ensure cryptographic nonces and identity witnesses are logged for every execution.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Audit log entry showing runner_hash and nonce.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GOV-04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Validate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Compliance-Accuracy Tradeoff</w:t>
            </w:r>
            <w:r w:rsidDel="00000000" w:rsidR="00000000" w:rsidRPr="00000000">
              <w:rPr>
                <w:rtl w:val="0"/>
              </w:rPr>
              <w:t xml:space="preserve"> policy is codified and enforced via "human-on-exception" protocols.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Policy document; escalation logs for compliance overrides.</w:t>
            </w:r>
          </w:p>
        </w:tc>
      </w:tr>
    </w:tbl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Access Control &amp; Identity (SOC 2 / HIPAA)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Objective: Confirm that access to long-term records is restricted to authorized personnel.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Control 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Audit Procedure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Pass/Fail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Evidence Required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ACC-01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Verify that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MFA</w:t>
            </w:r>
            <w:r w:rsidDel="00000000" w:rsidR="00000000" w:rsidRPr="00000000">
              <w:rPr>
                <w:rtl w:val="0"/>
              </w:rPr>
              <w:t xml:space="preserve"> is enforced for all Administrative and Auditor roles.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Platform Security Settings screenshot.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ACC-02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Inspect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Quarterly Access Reviews</w:t>
            </w:r>
            <w:r w:rsidDel="00000000" w:rsidR="00000000" w:rsidRPr="00000000">
              <w:rPr>
                <w:rtl w:val="0"/>
              </w:rPr>
              <w:t xml:space="preserve"> identifying terminated users or role changes.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Exported user list with manager approval signatures.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ACC-03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Confirm that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Auditor</w:t>
            </w:r>
            <w:r w:rsidDel="00000000" w:rsidR="00000000" w:rsidRPr="00000000">
              <w:rPr>
                <w:rtl w:val="0"/>
              </w:rPr>
              <w:t xml:space="preserve"> role has read-only access to the full audit trail without edit permissions.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Role-based Access Control (RBAC) Permission Matrix.</w:t>
            </w:r>
          </w:p>
        </w:tc>
      </w:tr>
    </w:tbl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Incident Response &amp; Reporting (Art. 62)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Objective: Verify notification protocols for security incidents affecting compliance data.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Control 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Audit Procedure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Pass/Fail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Evidence Required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INC-01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Confirm that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48-hour notification window</w:t>
            </w:r>
            <w:r w:rsidDel="00000000" w:rsidR="00000000" w:rsidRPr="00000000">
              <w:rPr>
                <w:rtl w:val="0"/>
              </w:rPr>
              <w:t xml:space="preserve"> is established for incidents affecting EU AI Act compliance data.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Incident Response Plan (IRP).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INC-02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Verify the existence of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Kill-Switch protocol</w:t>
            </w:r>
            <w:r w:rsidDel="00000000" w:rsidR="00000000" w:rsidRPr="00000000">
              <w:rPr>
                <w:rtl w:val="0"/>
              </w:rPr>
              <w:t xml:space="preserve"> for agentic plans operating in high-stakes environments.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Governance Spec; documented rollback test results.</w:t>
            </w:r>
          </w:p>
        </w:tc>
      </w:tr>
    </w:tbl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Would you like me to generate a </w:t>
      </w:r>
      <w:r w:rsidDel="00000000" w:rsidR="00000000" w:rsidRPr="00000000">
        <w:rPr>
          <w:b w:val="1"/>
          <w:bCs w:val="1"/>
          <w:rtl w:val="0"/>
        </w:rPr>
        <w:t xml:space="preserve">Self-Assessment Questionnaire (SAQ)</w:t>
      </w:r>
      <w:r w:rsidDel="00000000" w:rsidR="00000000" w:rsidRPr="00000000">
        <w:rPr>
          <w:rtl w:val="0"/>
        </w:rPr>
        <w:t xml:space="preserve"> that your AI System Owners can use to prepare for this internal audit?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Sources: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Privacy Policy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Implementation Guide: Applying Phase Mirror Dissonance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Policy Memo: Managing Agentic AI Liability with the Phase Mirror Framework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Phase Mirror - Comprehensive Services Catalog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Role-specific Guides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ocs.google.com/document/d/1w8K4IXdrjTn3lSjnYQsJvmoBDdUpZIKKV3IIRDXU3Cw/edit?usp=drive_web" TargetMode="External"/><Relationship Id="rId9" Type="http://schemas.openxmlformats.org/officeDocument/2006/relationships/hyperlink" Target="https://docs.google.com/document/d/1hjdUeBjrQHMSKSXBy_QQaET5225f2onCl-vv04rDZ-o/edit?usp=drive_web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fU6SdAoYtvBOaaSUjdsH_-zI1Wu9RPJEC2zABqQIhJ0/edit?usp=drive_web" TargetMode="External"/><Relationship Id="rId7" Type="http://schemas.openxmlformats.org/officeDocument/2006/relationships/hyperlink" Target="https://docs.google.com/document/d/1gOO1_jHatd4mZzRc_Wzerj3gVlkmj-_rh4qZ_6Rm2Eo/edit?usp=drive_web" TargetMode="External"/><Relationship Id="rId8" Type="http://schemas.openxmlformats.org/officeDocument/2006/relationships/hyperlink" Target="https://docs.google.com/document/d/1-RbLdZbhyPUZbqzYpXaXmH_YcbIQQWGA2aM3x_0RPQc/edit?usp=drive_we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