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Remediation Plan: AI Governance Audit Findings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Remediation Plan template is designed to address governance gaps identified during the </w:t>
      </w:r>
      <w:r w:rsidDel="00000000" w:rsidR="00000000" w:rsidRPr="00000000">
        <w:rPr>
          <w:b w:val="1"/>
          <w:bCs w:val="1"/>
          <w:rtl w:val="0"/>
        </w:rPr>
        <w:t xml:space="preserve">AI System Owner Self-Assessment (SAQ)</w:t>
      </w:r>
      <w:r w:rsidDel="00000000" w:rsidR="00000000" w:rsidRPr="00000000">
        <w:rPr>
          <w:rtl w:val="0"/>
        </w:rPr>
        <w:t xml:space="preserve">. In accordance with the </w:t>
      </w:r>
      <w:r w:rsidDel="00000000" w:rsidR="00000000" w:rsidRPr="00000000">
        <w:rPr>
          <w:b w:val="1"/>
          <w:bCs w:val="1"/>
          <w:rtl w:val="0"/>
        </w:rPr>
        <w:t xml:space="preserve">Phase Mirror Dissonance</w:t>
      </w:r>
      <w:r w:rsidDel="00000000" w:rsidR="00000000" w:rsidRPr="00000000">
        <w:rPr>
          <w:rtl w:val="0"/>
        </w:rPr>
        <w:t xml:space="preserve"> methodology, this plan replaces vague "alignment" goals with concrete bindings: specific owners, measurable metrics, and defined horizons.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Remediation Summary (At-a-Glance)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Critical Insight:</w:t>
      </w:r>
      <w:r w:rsidDel="00000000" w:rsidR="00000000" w:rsidRPr="00000000">
        <w:rPr>
          <w:rtl w:val="0"/>
        </w:rPr>
        <w:t xml:space="preserve"> "Clarity hurts only what was pretending." Failure to remediate "Fail" items in the SAQ constitutes a governance gap that must be addressed through explicit mechanisms, not hope.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 Domain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Identified Dissonance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Remediation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10-year mandate not codified in storage metadata.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WORM-compliant storage triggers.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🔴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Stability Metric ($\lambda_p L_p$) missing from reports.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Integrate Rust/WASM engine into CI/CD.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🔴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Oversight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Human-on-exception protocols unmapped.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Draft Exception Handler Spec &amp; SLA.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🟡 In-Progress</w:t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II. Detailed Remediation Levers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"Fail" item from the SAQ must be mapped to a lever with a designated owner and a binary success metric.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Horizon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[Project Lead]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WORM Configuration:</w:t>
            </w:r>
            <w:r w:rsidDel="00000000" w:rsidR="00000000" w:rsidRPr="00000000">
              <w:rPr>
                <w:rtl w:val="0"/>
              </w:rPr>
              <w:t xml:space="preserve"> Move all high-risk dissonance reports to Write-Once-Read-Many (WORM) infrastructure.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records in WORM 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[Eng Lead]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L0 Invariant Integration:</w:t>
            </w:r>
            <w:r w:rsidDel="00000000" w:rsidR="00000000" w:rsidRPr="00000000">
              <w:rPr>
                <w:rtl w:val="0"/>
              </w:rPr>
              <w:t xml:space="preserve"> Update CI/CD pipelines to require $\lambda_p L_p &lt; 1$ for all merge actions.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Zero-failure on stability checks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[Compliance]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 Completion:</w:t>
            </w:r>
            <w:r w:rsidDel="00000000" w:rsidR="00000000" w:rsidRPr="00000000">
              <w:rPr>
                <w:rtl w:val="0"/>
              </w:rPr>
              <w:t xml:space="preserve"> Draft and approve the "Compliance-Accuracy Tradeoff" policy for the specific system.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Policy signed by Exec Sponsor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[IT/Security]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MFA &amp; Access Lock:</w:t>
            </w:r>
            <w:r w:rsidDel="00000000" w:rsidR="00000000" w:rsidRPr="00000000">
              <w:rPr>
                <w:rtl w:val="0"/>
              </w:rPr>
              <w:t xml:space="preserve"> Revoke all non-MFA accounts and complete the Quarterly Access Review.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MFA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III. Binding Governance Artifacts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To ensure these remediations are not "vibe-based," the following artifacts must be generated and stored in the </w:t>
      </w:r>
      <w:r w:rsidDel="00000000" w:rsidR="00000000" w:rsidRPr="00000000">
        <w:rPr>
          <w:b w:val="1"/>
          <w:bCs w:val="1"/>
          <w:rtl w:val="0"/>
        </w:rPr>
        <w:t xml:space="preserve">Accountability 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Stop Rule (YAML):</w:t>
      </w:r>
      <w:r w:rsidDel="00000000" w:rsidR="00000000" w:rsidRPr="00000000">
        <w:rPr>
          <w:rtl w:val="0"/>
        </w:rPr>
        <w:t xml:space="preserve"> Define the exact conditions under which the system rollout will pause (e.g., p95 safety incident rate exceeds threshold).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Assumption Registry:</w:t>
      </w:r>
      <w:r w:rsidDel="00000000" w:rsidR="00000000" w:rsidRPr="00000000">
        <w:rPr>
          <w:rtl w:val="0"/>
        </w:rPr>
        <w:t xml:space="preserve"> List all underlying claims about system autonomy and document how they have been tested or failed.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Exception Handler SLA:</w:t>
      </w:r>
      <w:r w:rsidDel="00000000" w:rsidR="00000000" w:rsidRPr="00000000">
        <w:rPr>
          <w:rtl w:val="0"/>
        </w:rPr>
        <w:t xml:space="preserve"> A service level agreement defining the intervention ratio and response time for human oversight during "high-risk" drift.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IV. Audit Verification Checkpoint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Gate Criteria:</w:t>
      </w:r>
      <w:r w:rsidDel="00000000" w:rsidR="00000000" w:rsidRPr="00000000">
        <w:rPr>
          <w:rtl w:val="0"/>
        </w:rPr>
        <w:t xml:space="preserve"> Remediation is considered "Complete" only when: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Dissonance Report</w:t>
      </w:r>
      <w:r w:rsidDel="00000000" w:rsidR="00000000" w:rsidRPr="00000000">
        <w:rPr>
          <w:rtl w:val="0"/>
        </w:rPr>
        <w:t xml:space="preserve"> shows zero "Critical" findings for Rule IDs </w:t>
      </w:r>
      <w:r w:rsidDel="00000000" w:rsidR="00000000" w:rsidRPr="00000000">
        <w:rPr>
          <w:b w:val="1"/>
          <w:bCs w:val="1"/>
          <w:rtl w:val="0"/>
        </w:rPr>
        <w:t xml:space="preserve">MD-001 through MD-005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Runner Trust Chain</w:t>
      </w:r>
      <w:r w:rsidDel="00000000" w:rsidR="00000000" w:rsidRPr="00000000">
        <w:rPr>
          <w:rtl w:val="0"/>
        </w:rPr>
        <w:t xml:space="preserve"> logs show a valid cryptographic nonce for the remediation deployment.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Executive Sponsor</w:t>
      </w:r>
      <w:r w:rsidDel="00000000" w:rsidR="00000000" w:rsidRPr="00000000">
        <w:rPr>
          <w:rtl w:val="0"/>
        </w:rPr>
        <w:t xml:space="preserve"> has signed the updated </w:t>
      </w:r>
      <w:r w:rsidDel="00000000" w:rsidR="00000000" w:rsidRPr="00000000">
        <w:rPr>
          <w:b w:val="1"/>
          <w:bCs w:val="1"/>
          <w:rtl w:val="0"/>
        </w:rPr>
        <w:t xml:space="preserve">Business Case</w:t>
      </w:r>
      <w:r w:rsidDel="00000000" w:rsidR="00000000" w:rsidRPr="00000000">
        <w:rPr>
          <w:rtl w:val="0"/>
        </w:rPr>
        <w:t xml:space="preserve"> reflecting the remediation investment.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Precision Question:</w:t>
      </w:r>
      <w:r w:rsidDel="00000000" w:rsidR="00000000" w:rsidRPr="00000000">
        <w:rPr>
          <w:rtl w:val="0"/>
        </w:rPr>
        <w:t xml:space="preserve"> Which specific SAQ "Fail" item currently represents the highest liability exposure for your upcoming conformity assessment?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bCs w:val="1"/>
          <w:rtl w:val="0"/>
        </w:rPr>
        <w:t xml:space="preserve">Stop Rule YAML</w:t>
      </w:r>
      <w:r w:rsidDel="00000000" w:rsidR="00000000" w:rsidRPr="00000000">
        <w:rPr>
          <w:rtl w:val="0"/>
        </w:rPr>
        <w:t xml:space="preserve"> for your highest-risk AI system to ensure a deterministic kill-switch is in place?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The Phase of Mirror Dissonance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Implementation Guide: Applying Phase Mirror Dissonance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Phase Mirror Dissonance v2 — Written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Policy Memo: Managing Agentic AI Liability with the Phase Mirror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Vendor onboarding playbook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Lets draft up a detailed presentation refinement f.docx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Agentic Domain-Specific Reasoning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Condensed _Quick Start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RMAGS.docx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 Clear Guide to Phase Mirror's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in plain chat lets expand and expound on the prese.docx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sadeRA8Vlc9OZ2GI7kgUpPsvQeM1iEoN/view?usp=drive_web" TargetMode="External"/><Relationship Id="rId10" Type="http://schemas.openxmlformats.org/officeDocument/2006/relationships/hyperlink" Target="https://docs.google.com/document/d/12MBhXAWlO04FRlIdenv8kH-HpIfIOiNauvx1p-5uf_4/edit?usp=drive_web" TargetMode="External"/><Relationship Id="rId13" Type="http://schemas.openxmlformats.org/officeDocument/2006/relationships/hyperlink" Target="https://docs.google.com/document/d/12ixkQUWtwlJBxTkyOjTpTpQNKJw7Sb6lYiVU5W3jVuM/edit?usp=drive_web" TargetMode="External"/><Relationship Id="rId12" Type="http://schemas.openxmlformats.org/officeDocument/2006/relationships/hyperlink" Target="https://docs.google.com/document/d/1LbIInyYf5G9k66JHdKnIRveMw2nKLmPLGaawuOziSJQ/edit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RbLdZbhyPUZbqzYpXaXmH_YcbIQQWGA2aM3x_0RPQc/edit?usp=drive_web" TargetMode="External"/><Relationship Id="rId15" Type="http://schemas.openxmlformats.org/officeDocument/2006/relationships/hyperlink" Target="https://docs.google.com/document/d/1bnOY6PMaGI21bgX-U35_tlRIwZuYUWUgizprKNHIO-Q/edit?usp=drive_web" TargetMode="External"/><Relationship Id="rId14" Type="http://schemas.openxmlformats.org/officeDocument/2006/relationships/hyperlink" Target="https://drive.google.com/open?id=1ctvJRKoViw1bwkthVYYSqq111Xn3Pquf" TargetMode="External"/><Relationship Id="rId16" Type="http://schemas.openxmlformats.org/officeDocument/2006/relationships/hyperlink" Target="https://drive.google.com/file/d/12xknDehjA2ErTLCgQnccemwPIY6cOGQT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fLmutaqpf0vnS1XpKBGqHSex3eIJBddB2fzR6Yuvus/edit?usp=drive_web" TargetMode="External"/><Relationship Id="rId7" Type="http://schemas.openxmlformats.org/officeDocument/2006/relationships/hyperlink" Target="https://docs.google.com/document/d/1gOO1_jHatd4mZzRc_Wzerj3gVlkmj-_rh4qZ_6Rm2Eo/edit?usp=drive_web" TargetMode="External"/><Relationship Id="rId8" Type="http://schemas.openxmlformats.org/officeDocument/2006/relationships/hyperlink" Target="https://docs.google.com/document/d/129Yk462RssC6X9-byZo2u1q_imMqR3Ml6qp6gFqu9WA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