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 Rule YAML: High-Risk AI System (Finton/Annex III)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Stop Rule artifact is a deterministic binding that defines the "Kill-Switch" conditions for the Phase Mirror Agency's highest-risk systems (e.g., </w:t>
      </w:r>
      <w:r w:rsidDel="00000000" w:rsidR="00000000" w:rsidRPr="00000000">
        <w:rPr>
          <w:b w:val="1"/>
          <w:bCs w:val="1"/>
          <w:rtl w:val="0"/>
        </w:rPr>
        <w:t xml:space="preserve">Finton Ensemble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Annex III High-Risk AI</w:t>
      </w:r>
      <w:r w:rsidDel="00000000" w:rsidR="00000000" w:rsidRPr="00000000">
        <w:rPr>
          <w:rtl w:val="0"/>
        </w:rPr>
        <w:t xml:space="preserve">). It ensures that if the mathematical invariants of the </w:t>
      </w:r>
      <w:r w:rsidDel="00000000" w:rsidR="00000000" w:rsidRPr="00000000">
        <w:rPr>
          <w:b w:val="1"/>
          <w:bCs w:val="1"/>
          <w:rtl w:val="0"/>
        </w:rPr>
        <w:t xml:space="preserve">Sedona Spine</w:t>
      </w:r>
      <w:r w:rsidDel="00000000" w:rsidR="00000000" w:rsidRPr="00000000">
        <w:rPr>
          <w:rtl w:val="0"/>
        </w:rPr>
        <w:t xml:space="preserve"> are violated, the system halts immediately to prevent systemic drift or liability exposure.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Phase Mirror Stop Rule: Deterministic Kill-Switch v1.0</w:t>
        <w:br w:type="textWrapping"/>
        <w:t xml:space="preserve"># Scope: High-Risk AI Systems (Finton Ensemble / Annex III)</w:t>
        <w:br w:type="textWrapping"/>
        <w:t xml:space="preserve"># Authority: Sedona Spine (Rust/WASM Core)</w:t>
        <w:br w:type="textWrapping"/>
        <w:br w:type="textWrapping"/>
        <w:t xml:space="preserve">metadata:</w:t>
        <w:br w:type="textWrapping"/>
        <w:t xml:space="preserve">  system_id: "PM-AGENCY-FINTON-001"</w:t>
        <w:br w:type="textWrapping"/>
        <w:t xml:space="preserve">  governance_tier: "Critical"</w:t>
        <w:br w:type="textWrapping"/>
        <w:t xml:space="preserve">  legal_basis: "EU AI Act Art. 16 / Sedona Spine Mandate"</w:t>
        <w:br w:type="textWrapping"/>
        <w:br w:type="textWrapping"/>
        <w:t xml:space="preserve">stop_triggers:</w:t>
        <w:br w:type="textWrapping"/>
        <w:t xml:space="preserve">  - id: "STOP-001-STABILITY"</w:t>
        <w:br w:type="textWrapping"/>
        <w:t xml:space="preserve">    condition: "stability_metric (λ_p L_p) &gt;= 1.0"</w:t>
        <w:br w:type="textWrapping"/>
        <w:t xml:space="preserve">    action: "SIG_GOV_KILL"</w:t>
        <w:br w:type="textWrapping"/>
        <w:t xml:space="preserve">    rationale: "Contractivity violation; system is no longer proven to converge, creating unbounded risk."</w:t>
        <w:br w:type="textWrapping"/>
        <w:br w:type="textWrapping"/>
        <w:t xml:space="preserve">  - id: "STOP-002-NONCE-STALE"</w:t>
        <w:br w:type="textWrapping"/>
        <w:t xml:space="preserve">    condition: "nonce_freshness == false"</w:t>
        <w:br w:type="textWrapping"/>
        <w:t xml:space="preserve">    action: "HALT_EXECUTION"</w:t>
        <w:br w:type="textWrapping"/>
        <w:t xml:space="preserve">    rationale: "Runner Trust Chain breach; provenance of the execution environment is unverified."</w:t>
        <w:br w:type="textWrapping"/>
        <w:br w:type="textWrapping"/>
        <w:t xml:space="preserve">  - id: "STOP-003-CIRCUIT-BREAKER"</w:t>
        <w:br w:type="textWrapping"/>
        <w:t xml:space="preserve">    condition: "block_rate &gt; 5_per_hour"</w:t>
        <w:br w:type="textWrapping"/>
        <w:t xml:space="preserve">    action: "DEGRADE_TO_WARN"</w:t>
        <w:br w:type="textWrapping"/>
        <w:t xml:space="preserve">    rationale: "Oracle block-rate threshold exceeded; potential oracle regression or systemic conflict."</w:t>
        <w:br w:type="textWrapping"/>
        <w:br w:type="textWrapping"/>
        <w:t xml:space="preserve">  - id: "STOP-004-SEMANTIC-DRIFT"</w:t>
        <w:br w:type="textWrapping"/>
        <w:t xml:space="preserve">    condition: "divergence_score (δ) &gt; 0.1"</w:t>
        <w:br w:type="textWrapping"/>
        <w:t xml:space="preserve">    action: "SIG_GOV_KILL"</w:t>
        <w:br w:type="textWrapping"/>
        <w:t xml:space="preserve">    rationale: "MD-100 Violation; agent intent has drifted significantly from Sedona Spine policy."</w:t>
        <w:br w:type="textWrapping"/>
        <w:br w:type="textWrapping"/>
        <w:t xml:space="preserve">enforcement:</w:t>
        <w:br w:type="textWrapping"/>
        <w:t xml:space="preserve">  mechanism: "lobian_guard.py"</w:t>
        <w:br w:type="textWrapping"/>
        <w:t xml:space="preserve">  audit_trail: "pirtm audit &lt;trace.log&gt;"</w:t>
        <w:br w:type="textWrapping"/>
        <w:t xml:space="preserve">  rollback_target: "last_known_stable_hash"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Mirror Dissonance: Stop Rule Governance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 Proof vs. Operational Speed</w:t>
      </w:r>
      <w:r w:rsidDel="00000000" w:rsidR="00000000" w:rsidRPr="00000000">
        <w:rPr>
          <w:rtl w:val="0"/>
        </w:rPr>
        <w:t xml:space="preserve">: The stop rule prioritizes contractivity ($\lambda_p L_p &lt; 1$) over system uptime, which may disrupt high-velocity environments.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Kill-Switch vs. "Vibe-Based" Overrides</w:t>
      </w:r>
      <w:r w:rsidDel="00000000" w:rsidR="00000000" w:rsidRPr="00000000">
        <w:rPr>
          <w:rtl w:val="0"/>
        </w:rPr>
        <w:t xml:space="preserve">: The SIG_GOV_KILL is automated via the </w:t>
      </w:r>
      <w:r w:rsidDel="00000000" w:rsidR="00000000" w:rsidRPr="00000000">
        <w:rPr>
          <w:b w:val="1"/>
          <w:bCs w:val="1"/>
          <w:rtl w:val="0"/>
        </w:rPr>
        <w:t xml:space="preserve">L0 Invariants</w:t>
      </w:r>
      <w:r w:rsidDel="00000000" w:rsidR="00000000" w:rsidRPr="00000000">
        <w:rPr>
          <w:rtl w:val="0"/>
        </w:rPr>
        <w:t xml:space="preserve">; it cannot be bypassed by narrative claims or manual intervention without an ADR-level amendment.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Transparency vs. Safety</w:t>
      </w:r>
      <w:r w:rsidDel="00000000" w:rsidR="00000000" w:rsidRPr="00000000">
        <w:rPr>
          <w:rtl w:val="0"/>
        </w:rPr>
        <w:t xml:space="preserve">: While the stop rule is public (YAML), the underlying </w:t>
      </w:r>
      <w:r w:rsidDel="00000000" w:rsidR="00000000" w:rsidRPr="00000000">
        <w:rPr>
          <w:b w:val="1"/>
          <w:bCs w:val="1"/>
          <w:rtl w:val="0"/>
        </w:rPr>
        <w:t xml:space="preserve">PWEH</w:t>
      </w:r>
      <w:r w:rsidDel="00000000" w:rsidR="00000000" w:rsidRPr="00000000">
        <w:rPr>
          <w:rtl w:val="0"/>
        </w:rPr>
        <w:t xml:space="preserve"> integrity functional ensures that the "Why" behind a halt is cryptographically sealed and unalterable.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Levers to Test Now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[Eng]</w:t>
      </w:r>
      <w:r w:rsidDel="00000000" w:rsidR="00000000" w:rsidRPr="00000000">
        <w:rPr>
          <w:rtl w:val="0"/>
        </w:rPr>
        <w:t xml:space="preserve"> — Integrate Stop Rule YAML into kill_switch.py test suite — </w:t>
      </w:r>
      <w:r w:rsidDel="00000000" w:rsidR="00000000" w:rsidRPr="00000000">
        <w:rPr>
          <w:b w:val="1"/>
          <w:bCs w:val="1"/>
          <w:rtl w:val="0"/>
        </w:rPr>
        <w:t xml:space="preserve">Metric</w:t>
      </w:r>
      <w:r w:rsidDel="00000000" w:rsidR="00000000" w:rsidRPr="00000000">
        <w:rPr>
          <w:rtl w:val="0"/>
        </w:rPr>
        <w:t xml:space="preserve">: 100% trigger reliability — </w:t>
      </w:r>
      <w:r w:rsidDel="00000000" w:rsidR="00000000" w:rsidRPr="00000000">
        <w:rPr>
          <w:b w:val="1"/>
          <w:bCs w:val="1"/>
          <w:rtl w:val="0"/>
        </w:rPr>
        <w:t xml:space="preserve">Horizon</w:t>
      </w:r>
      <w:r w:rsidDel="00000000" w:rsidR="00000000" w:rsidRPr="00000000">
        <w:rPr>
          <w:rtl w:val="0"/>
        </w:rPr>
        <w:t xml:space="preserve">: 7 days.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[Ops]</w:t>
      </w:r>
      <w:r w:rsidDel="00000000" w:rsidR="00000000" w:rsidRPr="00000000">
        <w:rPr>
          <w:rtl w:val="0"/>
        </w:rPr>
        <w:t xml:space="preserve"> — Set Circuit-Breaker threshold for production PRs — </w:t>
      </w:r>
      <w:r w:rsidDel="00000000" w:rsidR="00000000" w:rsidRPr="00000000">
        <w:rPr>
          <w:b w:val="1"/>
          <w:bCs w:val="1"/>
          <w:rtl w:val="0"/>
        </w:rPr>
        <w:t xml:space="preserve">Metric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Block-rate ≤5/hour — </w:t>
      </w:r>
      <w:r w:rsidDel="00000000" w:rsidR="00000000" w:rsidRPr="00000000">
        <w:rPr>
          <w:b w:val="1"/>
          <w:bCs w:val="1"/>
          <w:rtl w:val="0"/>
        </w:rPr>
        <w:t xml:space="preserve">Horizon</w:t>
      </w:r>
      <w:r w:rsidDel="00000000" w:rsidR="00000000" w:rsidRPr="00000000">
        <w:rPr>
          <w:rtl w:val="0"/>
        </w:rPr>
        <w:t xml:space="preserve">: 14 days.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[Legal]</w:t>
      </w:r>
      <w:r w:rsidDel="00000000" w:rsidR="00000000" w:rsidRPr="00000000">
        <w:rPr>
          <w:rtl w:val="0"/>
        </w:rPr>
        <w:t xml:space="preserve"> — Map Stop Rule triggers to Article 62 incident reporting — </w:t>
      </w:r>
      <w:r w:rsidDel="00000000" w:rsidR="00000000" w:rsidRPr="00000000">
        <w:rPr>
          <w:b w:val="1"/>
          <w:bCs w:val="1"/>
          <w:rtl w:val="0"/>
        </w:rPr>
        <w:t xml:space="preserve">Metric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Reporting latency ≤48h — </w:t>
      </w:r>
      <w:r w:rsidDel="00000000" w:rsidR="00000000" w:rsidRPr="00000000">
        <w:rPr>
          <w:b w:val="1"/>
          <w:bCs w:val="1"/>
          <w:rtl w:val="0"/>
        </w:rPr>
        <w:t xml:space="preserve">Horizon</w:t>
      </w:r>
      <w:r w:rsidDel="00000000" w:rsidR="00000000" w:rsidRPr="00000000">
        <w:rPr>
          <w:rtl w:val="0"/>
        </w:rPr>
        <w:t xml:space="preserve">: 30 days.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Optional Artifact</w:t>
      </w:r>
      <w:r w:rsidDel="00000000" w:rsidR="00000000" w:rsidRPr="00000000">
        <w:rPr>
          <w:rtl w:val="0"/>
        </w:rPr>
        <w:t xml:space="preserve">: "A kill-switch is not a failure of the machine; it is the success of the designer."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automated test suite in Python</w:t>
      </w:r>
      <w:r w:rsidDel="00000000" w:rsidR="00000000" w:rsidRPr="00000000">
        <w:rPr>
          <w:rtl w:val="0"/>
        </w:rPr>
        <w:t xml:space="preserve"> to verify these Stop Rule triggers against the kill_switch.py implementation?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Quantum_Artificial_General_Intelligence.pdf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Phase Mirror: Agentic Domain-Specific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Policy Memo: Managing Agentic AI Liability with the Phase Mirror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 plain chat lets expand and expound on the prese.docx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The Phase Mirror does not resolve dissonance—it names 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KguAmCu0omqXDq_BHdkgrmPATRmnD0rabkldb770zBs/edit?usp=drive_web" TargetMode="External"/><Relationship Id="rId10" Type="http://schemas.openxmlformats.org/officeDocument/2006/relationships/hyperlink" Target="https://drive.google.com/file/d/12xknDehjA2ErTLCgQnccemwPIY6cOGQT/view?usp=drive_web" TargetMode="External"/><Relationship Id="rId9" Type="http://schemas.openxmlformats.org/officeDocument/2006/relationships/hyperlink" Target="https://docs.google.com/document/d/1-RbLdZbhyPUZbqzYpXaXmH_YcbIQQWGA2aM3x_0RPQc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gwuAa7I2AIeGUMWoQh3Sbb0DlyZQInL/view?usp=drive_web" TargetMode="External"/><Relationship Id="rId7" Type="http://schemas.openxmlformats.org/officeDocument/2006/relationships/hyperlink" Target="https://docs.google.com/document/d/1C7WzM9krwaARxs8xRJPcNxk1lWQ7VUiUareJpx1ytBY/edit?usp=drive_web" TargetMode="External"/><Relationship Id="rId8" Type="http://schemas.openxmlformats.org/officeDocument/2006/relationships/hyperlink" Target="https://docs.google.com/document/d/18SQzwI7ZmziXgyAYPm9PU0WDftPaNHB_B8xt--fmufo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