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Phase 4: Managed Governance RaaS (Robotics-as-a-Service)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final phase of the Phase Mirror and AIISTECH integration productizes these automations into a </w:t>
      </w:r>
      <w:r w:rsidDel="00000000" w:rsidR="00000000" w:rsidRPr="00000000">
        <w:rPr>
          <w:b w:val="1"/>
          <w:bCs w:val="1"/>
          <w:rtl w:val="0"/>
        </w:rPr>
        <w:t xml:space="preserve">"Managed Governance RaaS"</w:t>
      </w:r>
      <w:r w:rsidDel="00000000" w:rsidR="00000000" w:rsidRPr="00000000">
        <w:rPr>
          <w:rtl w:val="0"/>
        </w:rPr>
        <w:t xml:space="preserve"> model. This stage is specifically designed for high-stakes environments, such as Healthcare, where autonomous AI actions require absolute, verifiable certainty before execution.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Witness Gating: The "EvaluateWitnessGate" Certification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In this tier, the system moves from passive monitoring to active, "fail-closed" enforcement.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 Every automated action must receive an evaluateWitnessGate certification before any AIISTECH execution API actuates.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This gating mechanism ensures that no state transition occurs—such as a prior-authorization approval or a claims intake update—unless it has been cryptographically verified against the Sedona Spine’s mathematical and legal invariants.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Governance by Design</w:t>
      </w:r>
      <w:r w:rsidDel="00000000" w:rsidR="00000000" w:rsidRPr="00000000">
        <w:rPr>
          <w:rtl w:val="0"/>
        </w:rPr>
        <w:t xml:space="preserve">: If the system cannot produce a valid witness certification, the execution is automatically blocked, preventing "autoimmune variance" and unauthorized state evolution.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$\Lambda$-Trace Auditability: The Archivum Layer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To satisfy the stringent record-keeping requirements of regulated industries, every AI decision is treated as an immutable record.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Hashable Atoms</w:t>
      </w:r>
      <w:r w:rsidDel="00000000" w:rsidR="00000000" w:rsidRPr="00000000">
        <w:rPr>
          <w:rtl w:val="0"/>
        </w:rPr>
        <w:t xml:space="preserve">: Every AI decision—including clinical denial reasoning or triage logic—is recorded as a </w:t>
      </w:r>
      <w:r w:rsidDel="00000000" w:rsidR="00000000" w:rsidRPr="00000000">
        <w:rPr>
          <w:b w:val="1"/>
          <w:bCs w:val="1"/>
          <w:rtl w:val="0"/>
        </w:rPr>
        <w:t xml:space="preserve">$\Lambda$-Trace atom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Archivum Layer</w:t>
      </w:r>
      <w:r w:rsidDel="00000000" w:rsidR="00000000" w:rsidRPr="00000000">
        <w:rPr>
          <w:rtl w:val="0"/>
        </w:rPr>
        <w:t xml:space="preserve">: These atoms are stored in the </w:t>
      </w:r>
      <w:r w:rsidDel="00000000" w:rsidR="00000000" w:rsidRPr="00000000">
        <w:rPr>
          <w:b w:val="1"/>
          <w:bCs w:val="1"/>
          <w:rtl w:val="0"/>
        </w:rPr>
        <w:t xml:space="preserve">Archivum layer</w:t>
      </w:r>
      <w:r w:rsidDel="00000000" w:rsidR="00000000" w:rsidRPr="00000000">
        <w:rPr>
          <w:rtl w:val="0"/>
        </w:rPr>
        <w:t xml:space="preserve">, creating a canonical, hashable, and privacy-preserving audit trail.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Regulatory Compliance</w:t>
      </w:r>
      <w:r w:rsidDel="00000000" w:rsidR="00000000" w:rsidRPr="00000000">
        <w:rPr>
          <w:rtl w:val="0"/>
        </w:rPr>
        <w:t xml:space="preserve">: This allows regulators to verify system lawfulness without ever accessing raw Protected Health Information (PHI), directly supporting </w:t>
      </w:r>
      <w:r w:rsidDel="00000000" w:rsidR="00000000" w:rsidRPr="00000000">
        <w:rPr>
          <w:b w:val="1"/>
          <w:bCs w:val="1"/>
          <w:rtl w:val="0"/>
        </w:rPr>
        <w:t xml:space="preserve">EU AI Act Article 12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HIPAA</w:t>
      </w:r>
      <w:r w:rsidDel="00000000" w:rsidR="00000000" w:rsidRPr="00000000">
        <w:rPr>
          <w:rtl w:val="0"/>
        </w:rPr>
        <w:t xml:space="preserve"> record-keeping mandates.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Dedicated Healthcare Tiers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Managed Automation Services are offered in structured tiers to align with enterprise risk appetites: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Bronze/Silver Tiers</w:t>
      </w:r>
      <w:r w:rsidDel="00000000" w:rsidR="00000000" w:rsidRPr="00000000">
        <w:rPr>
          <w:rtl w:val="0"/>
        </w:rPr>
        <w:t xml:space="preserve">: Provide standard automation monitoring and uptime guarantees.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Gold Tier (High-Stakes)</w:t>
      </w:r>
      <w:r w:rsidDel="00000000" w:rsidR="00000000" w:rsidRPr="00000000">
        <w:rPr>
          <w:rtl w:val="0"/>
        </w:rPr>
        <w:t xml:space="preserve">: Offers full-lifecycle bot management with continuous AI model fine-tuning. This tier includes dedicated HIPAA-trained technical account management and enforces a strict </w:t>
      </w:r>
      <w:r w:rsidDel="00000000" w:rsidR="00000000" w:rsidRPr="00000000">
        <w:rPr>
          <w:b w:val="1"/>
          <w:bCs w:val="1"/>
          <w:rtl w:val="0"/>
        </w:rPr>
        <w:t xml:space="preserve">10-year retention policy</w:t>
      </w:r>
      <w:r w:rsidDel="00000000" w:rsidR="00000000" w:rsidRPr="00000000">
        <w:rPr>
          <w:rtl w:val="0"/>
        </w:rPr>
        <w:t xml:space="preserve"> for all high-risk AI system data.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Critical Guardrails: Bounded Drift ($\delta(t)$)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To prevent models from becoming unreliable over time, the RaaS tier enforces a strict drift threshold (typically $\delta(t) \leq 0.3\Xi$).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Silent Mode</w:t>
      </w:r>
      <w:r w:rsidDel="00000000" w:rsidR="00000000" w:rsidRPr="00000000">
        <w:rPr>
          <w:rtl w:val="0"/>
        </w:rPr>
        <w:t xml:space="preserve">: If a model's behavior deviates beyond this defined safety margin, the system enters a "silent mode," automatically halting autonomous actions until a lawful repair is performed.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Lipschitz Enforcement</w:t>
      </w:r>
      <w:r w:rsidDel="00000000" w:rsidR="00000000" w:rsidRPr="00000000">
        <w:rPr>
          <w:rtl w:val="0"/>
        </w:rPr>
        <w:t xml:space="preserve">: The system rejects any acceleration that increases the effective Lipschitz constant ($L_{eff}$) beyond defined safety margins ($1-\epsilon$), prioritizing clinical stability over pure deployment velocity.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draft the specific </w:t>
      </w:r>
      <w:r w:rsidDel="00000000" w:rsidR="00000000" w:rsidRPr="00000000">
        <w:rPr>
          <w:b w:val="1"/>
          <w:bCs w:val="1"/>
          <w:rtl w:val="0"/>
        </w:rPr>
        <w:t xml:space="preserve">Gold Tier Service Level Agreement (SLA)</w:t>
      </w:r>
      <w:r w:rsidDel="00000000" w:rsidR="00000000" w:rsidRPr="00000000">
        <w:rPr>
          <w:rtl w:val="0"/>
        </w:rPr>
        <w:t xml:space="preserve"> that incorporates these $\Lambda$-Trace stability and 10-year retention guarantees?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healthcare-specific version of agiOS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TheAIISTECH’s Platform-as-a-Service (PaaS) and Phase Mirror’s Agentic AI Governance Platform (AGP)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General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General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EU AI Act-specific provisions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5_AMOGNrEZU6mnjkmwWHU1GmUUAdc1_DotQc_mi6T4c/edit?usp=drive_web" TargetMode="External"/><Relationship Id="rId9" Type="http://schemas.openxmlformats.org/officeDocument/2006/relationships/hyperlink" Target="https://chat.google.com/room/AAQATilhwT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YcxxPmad_LwVLoKFDdI9mzUJUfTgQg_4aGO6bC3V0sU/edit?usp=drive_web" TargetMode="External"/><Relationship Id="rId7" Type="http://schemas.openxmlformats.org/officeDocument/2006/relationships/hyperlink" Target="https://drive.google.com/open?id=1A7FhX1ZNgv-auWimBdT8o_UV--1YhoqOzSct25ffXLU" TargetMode="External"/><Relationship Id="rId8" Type="http://schemas.openxmlformats.org/officeDocument/2006/relationships/hyperlink" Target="https://chat.google.com/room/AAQATilhwT0/kWizS-wt-I8/kWizS-wt-I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